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/>
        <w:contextualSpacing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highlight w:val="none"/>
        </w:rPr>
      </w:pPr>
      <w:bookmarkStart w:id="6" w:name="_GoBack"/>
      <w:bookmarkStart w:id="0" w:name="_Toc64645473"/>
      <w:bookmarkStart w:id="1" w:name="_Toc11060"/>
      <w:bookmarkStart w:id="2" w:name="_Toc139103004"/>
      <w:bookmarkStart w:id="3" w:name="_Toc139126581"/>
      <w:bookmarkStart w:id="4" w:name="_Toc139126096"/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highlight w:val="none"/>
        </w:rPr>
        <w:t>评审办法及评审标准</w:t>
      </w:r>
      <w:bookmarkEnd w:id="0"/>
      <w:bookmarkEnd w:id="1"/>
    </w:p>
    <w:bookmarkEnd w:id="6"/>
    <w:p>
      <w:pPr>
        <w:ind w:firstLine="600" w:firstLineChars="200"/>
        <w:contextualSpacing/>
        <w:rPr>
          <w:rFonts w:hint="eastAsia" w:ascii="黑体" w:hAnsi="黑体" w:eastAsia="黑体" w:cs="黑体"/>
          <w:b w:val="0"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</w:rPr>
        <w:t>一、评审</w:t>
      </w:r>
      <w:bookmarkEnd w:id="2"/>
      <w:bookmarkEnd w:id="3"/>
      <w:bookmarkEnd w:id="4"/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</w:rPr>
        <w:t>办法</w:t>
      </w:r>
    </w:p>
    <w:p>
      <w:pPr>
        <w:spacing w:line="588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1.评标方法：综合评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法</w:t>
      </w:r>
    </w:p>
    <w:p>
      <w:pPr>
        <w:spacing w:line="588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评审程序</w:t>
      </w:r>
    </w:p>
    <w:p>
      <w:pPr>
        <w:spacing w:line="588" w:lineRule="exact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2.1熟悉和理解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文件</w:t>
      </w:r>
    </w:p>
    <w:p>
      <w:pPr>
        <w:spacing w:line="588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评审委员会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正式评标前，应当对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文件进行熟悉和理解，内容主要包括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文件中服务单位资格条件、采购项目技术、服务和商务要求、评审方法和标准以及可能涉及签订采购合同的内容等。</w:t>
      </w:r>
    </w:p>
    <w:p>
      <w:pPr>
        <w:spacing w:line="4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</w:rPr>
        <w:t>2.2资格性审查</w:t>
      </w:r>
    </w:p>
    <w:p>
      <w:pPr>
        <w:spacing w:line="588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评审委员会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应依据法律法规和本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文件的规定，对响应文件是否按照规定要求提供资格性证明材料、是否属于禁止参加投标的服务单位等进行审查，以确定服务单位是否具备符合本项目规定的资格。在资格审查过程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中，如果出现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评审委员会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成员意见不一致的情况，按照少数服从多数的原则确定。</w:t>
      </w:r>
    </w:p>
    <w:p>
      <w:pPr>
        <w:spacing w:line="4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</w:rPr>
        <w:t>2.3评标</w:t>
      </w:r>
    </w:p>
    <w:p>
      <w:pPr>
        <w:spacing w:line="588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2.3.1采用综合评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法评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。</w:t>
      </w:r>
    </w:p>
    <w:p>
      <w:pPr>
        <w:spacing w:line="588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2.3.2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项目人员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对合格的申请文件按得分由高到低进行排序，以排名第一的为中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人；排名第一的放弃中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、因不可抗力因素提出不能履约合同，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人可以确定排名第二的为中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人，排名第二的中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候选人因同样原因不能签订合同的，可以确定排名第三的中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候选人为中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人</w:t>
      </w:r>
      <w:bookmarkStart w:id="5" w:name="_Toc64645474"/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以此类推。</w:t>
      </w:r>
    </w:p>
    <w:p>
      <w:pPr>
        <w:pStyle w:val="2"/>
        <w:rPr>
          <w:rFonts w:hint="eastAsia" w:ascii="仿宋_GB2312" w:hAnsi="仿宋_GB2312" w:cs="仿宋_GB2312"/>
          <w:color w:val="000000"/>
          <w:sz w:val="30"/>
          <w:szCs w:val="30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p>
      <w:pPr>
        <w:contextualSpacing/>
        <w:rPr>
          <w:rFonts w:hint="eastAsia" w:ascii="仿宋_GB2312" w:hAnsi="仿宋_GB2312" w:eastAsia="仿宋_GB2312" w:cs="仿宋_GB2312"/>
          <w:b/>
          <w:szCs w:val="24"/>
          <w:highlight w:val="none"/>
        </w:rPr>
      </w:pPr>
    </w:p>
    <w:p>
      <w:pPr>
        <w:contextualSpacing/>
        <w:rPr>
          <w:rFonts w:hint="eastAsia" w:ascii="黑体" w:hAnsi="黑体" w:eastAsia="黑体" w:cs="黑体"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sz w:val="30"/>
          <w:szCs w:val="30"/>
          <w:highlight w:val="none"/>
        </w:rPr>
        <w:t>二、</w:t>
      </w:r>
      <w:bookmarkEnd w:id="5"/>
      <w:r>
        <w:rPr>
          <w:rFonts w:hint="eastAsia" w:ascii="黑体" w:hAnsi="黑体" w:eastAsia="黑体" w:cs="黑体"/>
          <w:bCs/>
          <w:sz w:val="30"/>
          <w:szCs w:val="30"/>
          <w:highlight w:val="none"/>
        </w:rPr>
        <w:t>评审细则及评分标准</w:t>
      </w: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bCs/>
          <w:szCs w:val="32"/>
          <w:highlight w:val="none"/>
        </w:rPr>
      </w:pPr>
    </w:p>
    <w:tbl>
      <w:tblPr>
        <w:tblStyle w:val="3"/>
        <w:tblW w:w="1049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406"/>
        <w:gridCol w:w="438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评审内容</w:t>
            </w:r>
          </w:p>
        </w:tc>
        <w:tc>
          <w:tcPr>
            <w:tcW w:w="7787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标  准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8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基本信息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参选人基本信息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（5分）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具有国家司法行政机关颁发的《律师事务所执业许可证》，执业律师不低于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名，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5分；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不满足得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0分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0-10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参选人诚信执业承诺或声明（5分）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提交无违规经营、保密、不存在限制申请情形的相关文件，得5分；未提交不得分</w:t>
            </w: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代理方案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0分）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从高到低进行排名，第1名得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分，第2名得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分，第3名得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以此类推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0-60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服务价格（30分）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基础代理费总分15分。报价最低的得满分15分，每高于最低报价1万元（不满1万以1万元计），减1分；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阶段代理费总分5分。报价等于或低于算术平均值的得满分5分，每高于算术平均值2万元（不满2万以2万元计），减1分；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风险代理费总分5分。报价等于或低于算术平均值的得满分5分，每高于算术平均值0.5%（不满0.5%以0.5%计），减0.5分；注：若算术平均值为3%，A供应商报价为4%，则高于算术平均值1%，得4分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代理费总额限价总分5分。报价等于或低于算术平均值的得满分5分，每高于算术平均值5万元（不满5万以5万元计），减1分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。</w:t>
            </w: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服务团队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从高到低进行排名，第1名得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分，第2名得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分，第3名得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其余不得分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0-30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近三年内服务团队人员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代理再审/抗诉案件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按照数量计算分值，有一个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再审/抗诉案件胜诉业绩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分，最高不超过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能力附加证明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公开发表在有影响力的刊物的与本案有关的文章或论文等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该项得分5分</w:t>
            </w:r>
          </w:p>
        </w:tc>
        <w:tc>
          <w:tcPr>
            <w:tcW w:w="129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F5324"/>
    <w:rsid w:val="046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2021-10-28T02:18:00Z</dcterms:created>
  <dc:creator>DELL13</dc:creator>
  <cp:lastModifiedBy>DELL13</cp:lastModifiedBy>
  <dcterms:modified xsi:type="dcterms:W3CDTF">2021-10-28T02:18:31Z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