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90" w:lineRule="exact"/>
        <w:jc w:val="left"/>
        <w:rPr>
          <w:rFonts w:ascii="黑体" w:hAnsi="黑体" w:eastAsia="黑体" w:cs="仿宋"/>
          <w:color w:val="000000"/>
          <w:sz w:val="28"/>
          <w:szCs w:val="28"/>
        </w:rPr>
      </w:pPr>
      <w:bookmarkStart w:id="18" w:name="_GoBack"/>
      <w:bookmarkEnd w:id="18"/>
      <w:r>
        <w:rPr>
          <w:rFonts w:ascii="黑体" w:hAnsi="黑体" w:eastAsia="黑体" w:cs="仿宋"/>
          <w:color w:val="000000"/>
          <w:sz w:val="28"/>
          <w:szCs w:val="28"/>
        </w:rPr>
        <w:t>附件</w:t>
      </w:r>
      <w:r>
        <w:rPr>
          <w:rFonts w:hint="eastAsia" w:ascii="黑体" w:hAnsi="黑体" w:eastAsia="黑体" w:cs="仿宋"/>
          <w:color w:val="000000"/>
          <w:sz w:val="28"/>
          <w:szCs w:val="28"/>
        </w:rPr>
        <w:t>1-</w:t>
      </w:r>
      <w:r>
        <w:rPr>
          <w:rFonts w:ascii="黑体" w:hAnsi="黑体" w:eastAsia="黑体" w:cs="仿宋"/>
          <w:color w:val="000000"/>
          <w:sz w:val="28"/>
          <w:szCs w:val="28"/>
        </w:rPr>
        <w:t>1</w:t>
      </w:r>
    </w:p>
    <w:tbl>
      <w:tblPr>
        <w:tblStyle w:val="15"/>
        <w:tblW w:w="9048" w:type="dxa"/>
        <w:tblInd w:w="0" w:type="dxa"/>
        <w:tblLayout w:type="autofit"/>
        <w:tblCellMar>
          <w:top w:w="0" w:type="dxa"/>
          <w:left w:w="0" w:type="dxa"/>
          <w:bottom w:w="0" w:type="dxa"/>
          <w:right w:w="0" w:type="dxa"/>
        </w:tblCellMar>
      </w:tblPr>
      <w:tblGrid>
        <w:gridCol w:w="865"/>
        <w:gridCol w:w="1773"/>
        <w:gridCol w:w="2835"/>
        <w:gridCol w:w="2339"/>
        <w:gridCol w:w="676"/>
        <w:gridCol w:w="560"/>
      </w:tblGrid>
      <w:tr>
        <w:tblPrEx>
          <w:tblCellMar>
            <w:top w:w="0" w:type="dxa"/>
            <w:left w:w="0" w:type="dxa"/>
            <w:bottom w:w="0" w:type="dxa"/>
            <w:right w:w="0" w:type="dxa"/>
          </w:tblCellMar>
        </w:tblPrEx>
        <w:trPr>
          <w:trHeight w:val="505" w:hRule="atLeast"/>
        </w:trPr>
        <w:tc>
          <w:tcPr>
            <w:tcW w:w="9048" w:type="dxa"/>
            <w:gridSpan w:val="6"/>
            <w:tcBorders>
              <w:bottom w:val="nil"/>
            </w:tcBorders>
            <w:tcMar>
              <w:top w:w="15" w:type="dxa"/>
              <w:left w:w="15" w:type="dxa"/>
              <w:right w:w="15" w:type="dxa"/>
            </w:tcMar>
            <w:vAlign w:val="center"/>
          </w:tcPr>
          <w:p>
            <w:pPr>
              <w:widowControl/>
              <w:jc w:val="center"/>
              <w:textAlignment w:val="center"/>
              <w:rPr>
                <w:rFonts w:ascii="仿宋_GB2312" w:hAnsi="宋体" w:eastAsia="仿宋_GB2312" w:cs="仿宋_GB2312"/>
                <w:b/>
                <w:color w:val="000000"/>
                <w:kern w:val="0"/>
                <w:sz w:val="36"/>
                <w:szCs w:val="36"/>
              </w:rPr>
            </w:pPr>
            <w:r>
              <w:rPr>
                <w:rFonts w:hint="eastAsia" w:ascii="仿宋_GB2312" w:hAnsi="宋体" w:eastAsia="仿宋_GB2312" w:cs="仿宋_GB2312"/>
                <w:b/>
                <w:color w:val="000000"/>
                <w:kern w:val="0"/>
                <w:sz w:val="36"/>
                <w:szCs w:val="36"/>
              </w:rPr>
              <w:t>立筒仓及配套设备设施清单</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b/>
                <w:color w:val="000000"/>
                <w:kern w:val="0"/>
                <w:sz w:val="22"/>
              </w:rPr>
            </w:pPr>
            <w:r>
              <w:rPr>
                <w:rFonts w:hint="eastAsia" w:ascii="仿宋_GB2312" w:hAnsi="宋体" w:eastAsia="仿宋_GB2312" w:cs="仿宋_GB2312"/>
                <w:b/>
                <w:color w:val="000000"/>
                <w:kern w:val="0"/>
                <w:sz w:val="22"/>
              </w:rPr>
              <w:t>序号</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b/>
                <w:color w:val="000000"/>
                <w:kern w:val="0"/>
                <w:sz w:val="22"/>
              </w:rPr>
            </w:pPr>
            <w:r>
              <w:rPr>
                <w:rFonts w:hint="eastAsia" w:ascii="仿宋_GB2312" w:hAnsi="宋体" w:eastAsia="仿宋_GB2312" w:cs="仿宋_GB2312"/>
                <w:b/>
                <w:color w:val="000000"/>
                <w:kern w:val="0"/>
                <w:sz w:val="22"/>
              </w:rPr>
              <w:t>设备名称</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b/>
                <w:color w:val="000000"/>
                <w:kern w:val="0"/>
                <w:sz w:val="20"/>
                <w:szCs w:val="20"/>
              </w:rPr>
            </w:pPr>
            <w:r>
              <w:rPr>
                <w:rFonts w:hint="eastAsia" w:ascii="仿宋_GB2312" w:hAnsi="宋体" w:eastAsia="仿宋_GB2312" w:cs="仿宋_GB2312"/>
                <w:b/>
                <w:color w:val="000000"/>
                <w:kern w:val="0"/>
                <w:sz w:val="20"/>
                <w:szCs w:val="20"/>
              </w:rPr>
              <w:t>规格型号</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b/>
                <w:color w:val="000000"/>
                <w:kern w:val="0"/>
                <w:sz w:val="22"/>
              </w:rPr>
            </w:pPr>
            <w:r>
              <w:rPr>
                <w:rFonts w:hint="eastAsia" w:ascii="仿宋_GB2312" w:hAnsi="宋体" w:eastAsia="仿宋_GB2312" w:cs="仿宋_GB2312"/>
                <w:b/>
                <w:color w:val="000000"/>
                <w:kern w:val="0"/>
                <w:sz w:val="22"/>
              </w:rPr>
              <w:t>品牌及规格技术参数要求</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b/>
                <w:color w:val="000000"/>
                <w:kern w:val="0"/>
                <w:sz w:val="22"/>
              </w:rPr>
            </w:pPr>
            <w:r>
              <w:rPr>
                <w:rFonts w:hint="eastAsia" w:ascii="仿宋_GB2312" w:hAnsi="宋体" w:eastAsia="仿宋_GB2312" w:cs="仿宋_GB2312"/>
                <w:b/>
                <w:color w:val="000000"/>
                <w:kern w:val="0"/>
                <w:sz w:val="22"/>
              </w:rPr>
              <w:t>单位</w:t>
            </w:r>
          </w:p>
        </w:tc>
      </w:tr>
      <w:tr>
        <w:tblPrEx>
          <w:tblCellMar>
            <w:top w:w="0" w:type="dxa"/>
            <w:left w:w="0" w:type="dxa"/>
            <w:bottom w:w="0" w:type="dxa"/>
            <w:right w:w="0" w:type="dxa"/>
          </w:tblCellMar>
        </w:tblPrEx>
        <w:trPr>
          <w:gridAfter w:val="1"/>
          <w:wAfter w:w="560" w:type="dxa"/>
          <w:trHeight w:val="485" w:hRule="atLeast"/>
        </w:trPr>
        <w:tc>
          <w:tcPr>
            <w:tcW w:w="8488"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hAnsi="宋体" w:eastAsia="仿宋_GB2312" w:cs="仿宋_GB2312"/>
                <w:bCs/>
                <w:color w:val="000000"/>
                <w:kern w:val="0"/>
                <w:sz w:val="24"/>
                <w:szCs w:val="24"/>
              </w:rPr>
            </w:pPr>
            <w:r>
              <w:rPr>
                <w:rFonts w:hint="eastAsia" w:ascii="仿宋_GB2312" w:hAnsi="宋体" w:eastAsia="仿宋_GB2312" w:cs="仿宋_GB2312"/>
                <w:bCs/>
                <w:color w:val="000000"/>
                <w:kern w:val="0"/>
                <w:sz w:val="24"/>
                <w:szCs w:val="24"/>
              </w:rPr>
              <w:t>一、自动化设施清单</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MCC进线柜 800A</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800x650x2200mm(wxdxh)</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非标仿威图(单面) </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 xml:space="preserve">MCC柜 </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800x650x2200mm(wxdxh)</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非标仿威图(双面)</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3</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 xml:space="preserve">PLC柜 </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800x650x2200mm(wxdxh)</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非标仿威图(双面)</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4</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计算机专用操作台</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非标 </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二单元</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5</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电源插座箱</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非标 </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防尘防水</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6</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仓顶现场控制柜</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800x650x2200mm(wxdxh)</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非标仿威图(双面)</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7</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仓底现场控制柜</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650x350x1500mm(wxdxh)</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非标仿威图(单面)</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8</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按钮箱</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非标 </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9</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按钮盒</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非标 </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10</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计算机</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酷睿2双核2.5GHz,内存为2GB,硬盘SATA250G,独立显卡,显示器为19寸LCD</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11</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UPS</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TG500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山特</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只</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12</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网线</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超五类双绞线</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米</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13</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RS485通讯卡</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MOXA</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只</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14</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CPU 315-2 PN/DP</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6ES7 315-2EH13-0AB0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SIEMENS</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只</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15</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电源模块</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6ES7 307-1BA00-0AA0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SIEMENS</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只</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16</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存储卡(128KB)</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6ES7 953-8LG11-0AA0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SIEMENS</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只</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17</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DO 32xDC24V</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6ES7 322-1BL00-0AA0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SIEMENS</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只</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18</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DI 32xDC24V</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6ES7 321-1BL00-0AA0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SIEMENS</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只</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19</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40针前连接器</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6ES7 392-1AM00-0AA0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SIEMENS</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只</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20</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安装导轨</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6ES7 390-1AF30-0AA0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SIEMENS</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只</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21</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IM153-1 ET200</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6ES7 153-1AA03-0XB0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SIEMENS</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只</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22</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Profibus电缆</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6XV 1830-OEH10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SIEMENS</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米</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23</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Profibus插头</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6ES7 972-OBA41-0XA0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SIEMENS</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只</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24</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 xml:space="preserve">WINCC 组态软件 </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6AV6381-2BE07-0AV0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SIEMENS</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25</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PLC编程</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无锡中粮工程科技有限公司</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27</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计算机编程</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无锡中粮工程科技有限公司</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28</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失速传感器</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IIA3015-</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IFM</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只</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29</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堵料传感器</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IIA3015-</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IFM</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只</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30</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动力电缆(GB)</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VV-1KV-4X1.5</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米</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31</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动力电缆(GB)</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VV-1KV-4X2.5</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米</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32</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动力电缆(GB)</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VV-1KV-3X6+1X4</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米</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33</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动力电缆(GB)</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VV-1KV-3X10+1X6</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米</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34</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动力电缆(GB)</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VV-1KV-3X16+1X10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米</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35</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动力电缆(GB)</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VV-1KV-3X25+1X16</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米</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36</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控制电缆(GB)</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KVV-1KV-3X1</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米</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37</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控制电缆(GB)</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KVV-1KV-4X1</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2"/>
              </w:rPr>
            </w:pP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米</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38</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控制导线</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BVR-500-/1/1.5/2.5</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2"/>
              </w:rPr>
            </w:pP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39</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通讯电缆(GB)</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KVVP-1KV-3X0.75</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2"/>
              </w:rPr>
            </w:pP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米</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40</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XQJ-C</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600X200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2"/>
              </w:rPr>
            </w:pP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米</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41</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XQJ</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200X100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2"/>
              </w:rPr>
            </w:pP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米</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42</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XQJ</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100X50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2"/>
              </w:rPr>
            </w:pP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米</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43</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弯通,三通,封头等</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XQJ-C</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2"/>
              </w:rPr>
            </w:pP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44</w:t>
            </w:r>
          </w:p>
        </w:tc>
        <w:tc>
          <w:tcPr>
            <w:tcW w:w="177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钢管及附件</w:t>
            </w:r>
          </w:p>
        </w:tc>
        <w:tc>
          <w:tcPr>
            <w:tcW w:w="2835"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SC15、SC25、32等</w:t>
            </w:r>
          </w:p>
        </w:tc>
        <w:tc>
          <w:tcPr>
            <w:tcW w:w="2339"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2"/>
              </w:rPr>
            </w:pPr>
          </w:p>
        </w:tc>
        <w:tc>
          <w:tcPr>
            <w:tcW w:w="676"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45</w:t>
            </w:r>
          </w:p>
        </w:tc>
        <w:tc>
          <w:tcPr>
            <w:tcW w:w="177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安装辅助材料</w:t>
            </w:r>
          </w:p>
        </w:tc>
        <w:tc>
          <w:tcPr>
            <w:tcW w:w="28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233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铜接头,扎带,胶布,锁紧头套管,标记牌,金属软管,桥架，托臂，立柱等</w:t>
            </w:r>
          </w:p>
        </w:tc>
        <w:tc>
          <w:tcPr>
            <w:tcW w:w="67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488" w:type="dxa"/>
            <w:gridSpan w:val="5"/>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textAlignment w:val="center"/>
              <w:rPr>
                <w:rFonts w:ascii="仿宋_GB2312" w:hAnsi="宋体" w:eastAsia="仿宋_GB2312" w:cs="仿宋_GB2312"/>
                <w:color w:val="000000"/>
                <w:kern w:val="0"/>
                <w:sz w:val="22"/>
              </w:rPr>
            </w:pPr>
            <w:r>
              <w:rPr>
                <w:rFonts w:ascii="仿宋_GB2312" w:hAnsi="宋体" w:eastAsia="仿宋_GB2312" w:cs="仿宋_GB2312"/>
                <w:color w:val="000000"/>
                <w:kern w:val="0"/>
                <w:sz w:val="22"/>
              </w:rPr>
              <w:t>二、</w:t>
            </w:r>
            <w:r>
              <w:rPr>
                <w:rFonts w:hint="eastAsia" w:ascii="仿宋_GB2312" w:hAnsi="宋体" w:eastAsia="仿宋_GB2312" w:cs="仿宋_GB2312"/>
                <w:color w:val="000000"/>
                <w:kern w:val="0"/>
                <w:sz w:val="22"/>
              </w:rPr>
              <w:t>汽车散粮接收进仓系统</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序号</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名称</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规格</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数量</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单位</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活页闭尘装置</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THBC20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组</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气动闸门</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TZMQ40×40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3</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3</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手动闸门</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TZMS40×40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3</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4</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刮板输送机</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TGSS42</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5</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气动闸门</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TZMQ40x40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6</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斗式提升机</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TDTG60/33</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7</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气动三通</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TBDQ30x30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8</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电子计量秤</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NCS100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9</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缓冲斗</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10</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气动三通</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TBDQ30x30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2</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11</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圆筒初清筛</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TCQY125</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2</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12</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气动三通</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TBDQ30x30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2</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13</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振动清理筛</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TQLZ180/200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2</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14</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气动三通</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TBDQ30x30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15</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斗式提升机</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TDTG60/33</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16</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斗式提升机</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TDTG60/33</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17</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刮板输送机</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TGSS42</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18</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刮板输送机</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TGSS42</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19</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刮板输送机</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TGSS42</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2</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20</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气动闸门</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TZMQ60x40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26</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21</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气密性手动闸门</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TZMS60x40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28</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22</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上料位器</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TLWJa-1</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28</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23</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四联刹克龙</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55型，4-￠700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24</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高压脉冲除尘器</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LYM88-2000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25</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气动蝶阀</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￠500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26</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低压风机</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4-79-5A</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27</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四联刹克龙</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55型，4-￠700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28</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高压脉冲除尘器</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LYM88-2000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29</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气动蝶阀</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￠700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30</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低压风机</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4-79-5A</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31</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四联刹克龙</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55型，4-￠1000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32</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高压脉冲除尘器</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LYM156-2000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33</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气动蝶阀</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￠500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34</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低压风机</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4-72-8C</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35</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预制溜管、管件</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300x300mm</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36</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预制溜管、管件</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400x400mm</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37</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预制溜管、管件</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D=250mm</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38</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预制溜管、管件</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D=200mm</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39</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预制溜管、管件</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D=150mm</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40</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手、气动蝶阀</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D=125mm</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20</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41</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风网管道、管件</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3</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488" w:type="dxa"/>
            <w:gridSpan w:val="5"/>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三、散粮出仓发放系统</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气密性手动闸门</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TZMS35x35</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14</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气动闸门</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TZMQ35x35</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14</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3</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应急发放手动三通</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TBDS35x35</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10</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4</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墙板式皮带输送机</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DSG65</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5</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墙板式皮带输送机</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DSG65</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6</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刮板输送机</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TGSS42</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7</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斗式提升机</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TDTG60/33</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8</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气动三通</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TBDQ30x30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9</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刮板输送机</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TGSS42</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10</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上料位器</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TLWJa-1</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2</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11</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暂存仓</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12</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下料位器</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TLWJa-2</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16</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13</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气动闸门</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TZMQ30x30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2</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14</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永磁筒</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TCXT30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2</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15</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装车软管</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ZRG-200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2</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16</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四联刹克龙</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55型，4-￠700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17</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高压脉冲除尘器</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LYM88-2000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18</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气动蝶阀</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19</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低压风机</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4-79-5A</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20</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预制溜管、管件</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300x300mm</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21</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预制溜管、管件</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350x350mm</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22</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预制溜管、管件</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D=200mm</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23</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手、气动蝶阀</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16</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24</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风网管道、管件</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488" w:type="dxa"/>
            <w:gridSpan w:val="5"/>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四、其他部分</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螺杆压缩机</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HAS30</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2</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冷冻式干燥机</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JCD</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3</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精密过滤器</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Q-0.35</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2</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4</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储气罐</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C1，3m3</w:t>
            </w: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5</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压缩空气管道</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6</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灰箱</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10</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7</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风帽</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4</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8</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5t电动葫芦</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台</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9</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仓下通风管网及软连接等</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10</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室内消防栓及水袋</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12</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r>
        <w:tblPrEx>
          <w:tblCellMar>
            <w:top w:w="0" w:type="dxa"/>
            <w:left w:w="0" w:type="dxa"/>
            <w:bottom w:w="0" w:type="dxa"/>
            <w:right w:w="0" w:type="dxa"/>
          </w:tblCellMar>
        </w:tblPrEx>
        <w:trPr>
          <w:gridAfter w:val="1"/>
          <w:wAfter w:w="560" w:type="dxa"/>
          <w:trHeight w:val="485" w:hRule="atLeast"/>
        </w:trPr>
        <w:tc>
          <w:tcPr>
            <w:tcW w:w="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11</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4kg干粉灭火器</w:t>
            </w:r>
          </w:p>
        </w:tc>
        <w:tc>
          <w:tcPr>
            <w:tcW w:w="28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rPr>
                <w:rFonts w:ascii="仿宋_GB2312" w:hAnsi="宋体" w:eastAsia="仿宋_GB2312" w:cs="仿宋_GB2312"/>
                <w:color w:val="000000"/>
                <w:kern w:val="0"/>
                <w:sz w:val="20"/>
                <w:szCs w:val="20"/>
              </w:rPr>
            </w:pPr>
          </w:p>
        </w:tc>
        <w:tc>
          <w:tcPr>
            <w:tcW w:w="23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2"/>
              </w:rPr>
              <w:t>28</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套</w:t>
            </w:r>
          </w:p>
        </w:tc>
      </w:tr>
    </w:tbl>
    <w:p>
      <w:pPr>
        <w:widowControl/>
        <w:jc w:val="left"/>
        <w:rPr>
          <w:rFonts w:ascii="黑体" w:hAnsi="黑体" w:eastAsia="黑体" w:cs="仿宋"/>
          <w:color w:val="000000"/>
          <w:sz w:val="28"/>
          <w:szCs w:val="28"/>
        </w:rPr>
      </w:pPr>
      <w:r>
        <w:rPr>
          <w:rFonts w:ascii="仿宋" w:hAnsi="仿宋" w:eastAsia="仿宋" w:cs="仿宋"/>
          <w:color w:val="000000"/>
          <w:sz w:val="28"/>
          <w:szCs w:val="28"/>
        </w:rPr>
        <w:br w:type="page"/>
      </w:r>
      <w:r>
        <w:rPr>
          <w:rFonts w:hint="eastAsia" w:ascii="黑体" w:hAnsi="黑体" w:eastAsia="黑体" w:cs="仿宋"/>
          <w:color w:val="000000"/>
          <w:sz w:val="28"/>
          <w:szCs w:val="28"/>
        </w:rPr>
        <w:t>附件1-</w:t>
      </w:r>
      <w:r>
        <w:rPr>
          <w:rFonts w:ascii="黑体" w:hAnsi="黑体" w:eastAsia="黑体" w:cs="仿宋"/>
          <w:color w:val="000000"/>
          <w:sz w:val="28"/>
          <w:szCs w:val="28"/>
        </w:rPr>
        <w:t xml:space="preserve">2         </w:t>
      </w:r>
    </w:p>
    <w:p>
      <w:pPr>
        <w:widowControl/>
        <w:jc w:val="center"/>
        <w:rPr>
          <w:rFonts w:ascii="黑体" w:hAnsi="黑体" w:eastAsia="黑体" w:cs="仿宋"/>
          <w:color w:val="000000"/>
          <w:sz w:val="28"/>
          <w:szCs w:val="28"/>
        </w:rPr>
      </w:pPr>
      <w:bookmarkStart w:id="0" w:name="_Hlk118894543"/>
      <w:r>
        <w:rPr>
          <w:rFonts w:hint="eastAsia" w:ascii="黑体" w:hAnsi="黑体" w:eastAsia="黑体" w:cs="仿宋"/>
          <w:color w:val="000000"/>
          <w:sz w:val="28"/>
          <w:szCs w:val="28"/>
        </w:rPr>
        <w:t>仓储服务合同（格式）</w:t>
      </w:r>
    </w:p>
    <w:p>
      <w:pPr>
        <w:spacing w:line="590" w:lineRule="exac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 xml:space="preserve">签订地点： </w:t>
      </w:r>
    </w:p>
    <w:p>
      <w:pPr>
        <w:spacing w:line="590" w:lineRule="exac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 xml:space="preserve">签订时间： </w:t>
      </w:r>
    </w:p>
    <w:p>
      <w:pPr>
        <w:spacing w:line="590" w:lineRule="exac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甲方：成都市大茂丰粮油贸易有限公司</w:t>
      </w:r>
    </w:p>
    <w:p>
      <w:pPr>
        <w:spacing w:line="590" w:lineRule="exac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 xml:space="preserve">乙方： </w:t>
      </w:r>
    </w:p>
    <w:p>
      <w:pPr>
        <w:spacing w:line="590" w:lineRule="exact"/>
        <w:ind w:firstLine="640" w:firstLineChars="20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甲乙双方本着共同发展、平等互利的原则，依据《中华人民共和国民法典》及相关法律、法规和规章制度，经友好协商约定，甲乙双方在平等自愿基础上，就立筒仓及配套设施设备仓储服务有关事项，达成协议如下：</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一、基本情况</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1.仓储服务地址：成都市青白江区弥牟镇粮仓路9号；</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2.立筒仓及配套设施设备概况：高35米、直径12米立筒仓10座、设计仓容2万吨、立筒仓作业工作塔1座及卸料地坑，总建筑面积为5478.85</w:t>
      </w:r>
      <w:r>
        <w:rPr>
          <w:rFonts w:hint="eastAsia" w:ascii="Segoe UI Symbol" w:hAnsi="Segoe UI Symbol" w:eastAsia="Segoe UI Symbol" w:cs="Segoe UI Symbol"/>
          <w:color w:val="000000" w:themeColor="text1"/>
          <w:sz w:val="32"/>
          <w:szCs w:val="32"/>
        </w:rPr>
        <w:t>㎡</w:t>
      </w:r>
      <w:r>
        <w:rPr>
          <w:rFonts w:hint="eastAsia" w:ascii="仿宋_GB2312" w:hAnsi="仿宋_GB2312" w:eastAsia="仿宋_GB2312" w:cs="仿宋_GB2312"/>
          <w:color w:val="000000" w:themeColor="text1"/>
          <w:sz w:val="32"/>
          <w:szCs w:val="32"/>
        </w:rPr>
        <w:t>。</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3.配套设施设备：出、入仓上下斗提机，输送及配套的清理、除尘、计量测温、自动取样以及程序控制系统，防火、消防设施等。</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4.免费提供办公室及实验室约100</w:t>
      </w:r>
      <w:r>
        <w:rPr>
          <w:rFonts w:hint="eastAsia" w:ascii="Segoe UI Symbol" w:hAnsi="Segoe UI Symbol" w:eastAsia="Segoe UI Symbol" w:cs="Segoe UI Symbol"/>
          <w:color w:val="000000" w:themeColor="text1"/>
          <w:sz w:val="32"/>
          <w:szCs w:val="32"/>
        </w:rPr>
        <w:t>㎡</w:t>
      </w:r>
      <w:r>
        <w:rPr>
          <w:rFonts w:hint="eastAsia" w:ascii="仿宋_GB2312" w:hAnsi="Calibri" w:eastAsia="仿宋_GB2312"/>
          <w:color w:val="000000" w:themeColor="text1"/>
          <w:sz w:val="32"/>
          <w:szCs w:val="32"/>
        </w:rPr>
        <w:t>。</w:t>
      </w:r>
    </w:p>
    <w:p>
      <w:pPr>
        <w:spacing w:line="590" w:lineRule="exact"/>
        <w:ind w:firstLine="640"/>
        <w:rPr>
          <w:rFonts w:ascii="仿宋_GB2312" w:hAnsi="Calibri" w:eastAsia="仿宋_GB2312"/>
          <w:color w:val="000000" w:themeColor="text1"/>
          <w:sz w:val="32"/>
          <w:szCs w:val="32"/>
        </w:rPr>
      </w:pPr>
      <w:r>
        <w:rPr>
          <w:rFonts w:ascii="仿宋_GB2312" w:hAnsi="Calibri" w:eastAsia="仿宋_GB2312"/>
          <w:color w:val="000000" w:themeColor="text1"/>
          <w:sz w:val="32"/>
          <w:szCs w:val="32"/>
        </w:rPr>
        <w:t>5</w:t>
      </w:r>
      <w:r>
        <w:rPr>
          <w:rFonts w:hint="eastAsia" w:ascii="仿宋_GB2312" w:hAnsi="Calibri" w:eastAsia="仿宋_GB2312"/>
          <w:color w:val="000000" w:themeColor="text1"/>
          <w:sz w:val="32"/>
          <w:szCs w:val="32"/>
        </w:rPr>
        <w:t>.提供立筒仓权属证明、消防验收资料及设备设施清单。</w:t>
      </w:r>
    </w:p>
    <w:p>
      <w:pPr>
        <w:numPr>
          <w:ilvl w:val="0"/>
          <w:numId w:val="2"/>
        </w:numPr>
        <w:spacing w:line="590" w:lineRule="exact"/>
        <w:ind w:firstLine="56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仓储服务期限及费用</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 xml:space="preserve">仓储服务期限：年月日至年月日止，仓储服务费用：含税金额：元，不含税金额元。     </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三、支付方式</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双方合同签订生效后，乙方应于立筒仓及配套设施设备交后1</w:t>
      </w:r>
      <w:r>
        <w:rPr>
          <w:rFonts w:ascii="仿宋_GB2312" w:hAnsi="Calibri" w:eastAsia="仿宋_GB2312"/>
          <w:color w:val="000000" w:themeColor="text1"/>
          <w:sz w:val="32"/>
          <w:szCs w:val="32"/>
        </w:rPr>
        <w:t>5</w:t>
      </w:r>
      <w:r>
        <w:rPr>
          <w:rFonts w:hint="eastAsia" w:ascii="仿宋_GB2312" w:hAnsi="Calibri" w:eastAsia="仿宋_GB2312"/>
          <w:color w:val="000000" w:themeColor="text1"/>
          <w:sz w:val="32"/>
          <w:szCs w:val="32"/>
        </w:rPr>
        <w:t>个工作日内向甲方支付首半年仓储服务费用【 】元，后期乙方每半年向甲方支付一次仓储服务费（金额为半年仓储服务费【 】元，支付期限为本半年首月前</w:t>
      </w:r>
      <w:r>
        <w:rPr>
          <w:rFonts w:ascii="仿宋_GB2312" w:hAnsi="Calibri" w:eastAsia="仿宋_GB2312"/>
          <w:color w:val="000000" w:themeColor="text1"/>
          <w:sz w:val="32"/>
          <w:szCs w:val="32"/>
        </w:rPr>
        <w:t>15</w:t>
      </w:r>
      <w:r>
        <w:rPr>
          <w:rFonts w:hint="eastAsia" w:ascii="仿宋_GB2312" w:hAnsi="Calibri" w:eastAsia="仿宋_GB2312"/>
          <w:color w:val="000000" w:themeColor="text1"/>
          <w:sz w:val="32"/>
          <w:szCs w:val="32"/>
        </w:rPr>
        <w:t>个工作日内），支付后甲方于1</w:t>
      </w:r>
      <w:r>
        <w:rPr>
          <w:rFonts w:ascii="仿宋_GB2312" w:hAnsi="Calibri" w:eastAsia="仿宋_GB2312"/>
          <w:color w:val="000000" w:themeColor="text1"/>
          <w:sz w:val="32"/>
          <w:szCs w:val="32"/>
        </w:rPr>
        <w:t>0</w:t>
      </w:r>
      <w:r>
        <w:rPr>
          <w:rFonts w:hint="eastAsia" w:ascii="仿宋_GB2312" w:hAnsi="Calibri" w:eastAsia="仿宋_GB2312"/>
          <w:color w:val="000000" w:themeColor="text1"/>
          <w:sz w:val="32"/>
          <w:szCs w:val="32"/>
        </w:rPr>
        <w:t>个工作日向乙方开具6%增值税专用发票（如国家规定的税率调整，以调整后的为准），乙方未按照合同约定向甲方支付仓储服务费，造成的费用逾期，</w:t>
      </w:r>
      <w:bookmarkStart w:id="1" w:name="_Hlk117501537"/>
      <w:r>
        <w:rPr>
          <w:rFonts w:hint="eastAsia" w:ascii="仿宋_GB2312" w:hAnsi="Calibri" w:eastAsia="仿宋_GB2312"/>
          <w:color w:val="000000" w:themeColor="text1"/>
          <w:sz w:val="32"/>
          <w:szCs w:val="32"/>
        </w:rPr>
        <w:t>每逾期一天向甲方支付逾期金额的万分之三作为违约金。</w:t>
      </w:r>
      <w:bookmarkEnd w:id="1"/>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四、甲乙双方责任</w:t>
      </w:r>
    </w:p>
    <w:p>
      <w:pPr>
        <w:spacing w:line="590" w:lineRule="exact"/>
        <w:ind w:firstLine="80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1.甲方责任</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（1）甲方为乙方提供仓储服务前做好工作塔、立筒仓及设备检修工作，确保设备正常运转。合同签订后</w:t>
      </w:r>
      <w:r>
        <w:rPr>
          <w:rFonts w:ascii="仿宋_GB2312" w:hAnsi="Calibri" w:eastAsia="仿宋_GB2312"/>
          <w:color w:val="000000" w:themeColor="text1"/>
          <w:sz w:val="32"/>
          <w:szCs w:val="32"/>
        </w:rPr>
        <w:t>，</w:t>
      </w:r>
      <w:r>
        <w:rPr>
          <w:rFonts w:hint="eastAsia" w:ascii="仿宋_GB2312" w:hAnsi="Calibri" w:eastAsia="仿宋_GB2312"/>
          <w:color w:val="000000" w:themeColor="text1"/>
          <w:sz w:val="32"/>
          <w:szCs w:val="32"/>
        </w:rPr>
        <w:t>视为立筒仓及相关配套设施设备已交付给乙方且乙方认可甲方交付的立筒仓及配套设施设备符合合同约定及乙方要求</w:t>
      </w:r>
      <w:r>
        <w:rPr>
          <w:rFonts w:ascii="仿宋_GB2312" w:hAnsi="Calibri" w:eastAsia="仿宋_GB2312"/>
          <w:color w:val="000000" w:themeColor="text1"/>
          <w:sz w:val="32"/>
          <w:szCs w:val="32"/>
        </w:rPr>
        <w:t>，</w:t>
      </w:r>
      <w:r>
        <w:rPr>
          <w:rFonts w:hint="eastAsia" w:ascii="仿宋_GB2312" w:hAnsi="Calibri" w:eastAsia="仿宋_GB2312"/>
          <w:color w:val="000000" w:themeColor="text1"/>
          <w:sz w:val="32"/>
          <w:szCs w:val="32"/>
        </w:rPr>
        <w:t>相关设备设施由乙方承担维修维护责任及相关费用。</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（2）负责立筒仓等建筑设施的维修维护以达到满足立筒仓工作塔防漏、排水等要求，除为满足防漏、排水要求外，甲方不承担其他维修维护责任。</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3）甲方为乙方提供铁路运输、中转装卸、仓储存放以及园区公共配套等相关服务，同等条件下，甲方可以优先为乙方提供服务，如甲方相关服务不能满足乙方要求，由甲乙双方协商解决，具体费用标准双方另行约定。</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（4）甲方免费提供所需办公室、停车场、地磅。</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2.乙方责任</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（1）乙方对仓储服务区域的立筒仓、工作塔及相关设施设备进行粮食类的存储和发运。</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2）乙方自行管理仓储服务区域的存储及相关设施运行，按照设备管理要求（设备使用维护及保养说明）维护、维修并做好记录（费用由乙方承担），甲方有权定期对仓储服务区域的设施设备进行检查并根据实际情况作出强制性维修、维护意见。</w:t>
      </w:r>
    </w:p>
    <w:p>
      <w:pPr>
        <w:spacing w:line="590" w:lineRule="exact"/>
        <w:ind w:firstLine="567"/>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（3）乙方需遵守甲方安全卫生及门卫的管理相关一切制度，否则因此导致安全事故、安全隐患的，乙方承担一切法律和经济责任。</w:t>
      </w:r>
    </w:p>
    <w:p>
      <w:pPr>
        <w:spacing w:line="590" w:lineRule="exact"/>
        <w:ind w:firstLine="567"/>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（4）根据实际使用情况，按实际发生水电数额支付水电费用。</w:t>
      </w:r>
    </w:p>
    <w:p>
      <w:pPr>
        <w:spacing w:line="590" w:lineRule="exact"/>
        <w:ind w:firstLine="567"/>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（5）乙方需增设或改造设备设施必须征得甲方书面同意，不得擅自增设或改造。乙方应将相应的增设或改造方案、图纸提交甲方确认，经甲方书面同意后，乙方应严格按照经甲方确认的方案、图纸执行。</w:t>
      </w:r>
    </w:p>
    <w:p>
      <w:pPr>
        <w:spacing w:line="590" w:lineRule="exact"/>
        <w:ind w:firstLine="567"/>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（6）乙方负责承担仓储期内的维修义务及维修费用，如未按照约定履行维修义务造成甲方人身或财产毁坏的，由乙方承担赔偿责任。</w:t>
      </w:r>
    </w:p>
    <w:p>
      <w:pPr>
        <w:pStyle w:val="2"/>
        <w:spacing w:line="590" w:lineRule="exact"/>
        <w:ind w:firstLine="640" w:firstLineChars="200"/>
        <w:rPr>
          <w:color w:val="000000" w:themeColor="text1"/>
        </w:rPr>
      </w:pPr>
      <w:r>
        <w:rPr>
          <w:rFonts w:ascii="仿宋_GB2312" w:hAnsi="Calibri" w:eastAsia="仿宋_GB2312"/>
          <w:color w:val="000000" w:themeColor="text1"/>
          <w:sz w:val="32"/>
          <w:szCs w:val="32"/>
        </w:rPr>
        <w:t>（7）</w:t>
      </w:r>
      <w:r>
        <w:rPr>
          <w:rFonts w:hint="eastAsia" w:ascii="仿宋_GB2312" w:hAnsi="Calibri" w:eastAsia="仿宋_GB2312"/>
          <w:color w:val="000000" w:themeColor="text1"/>
          <w:sz w:val="32"/>
          <w:szCs w:val="32"/>
        </w:rPr>
        <w:t>乙方应当按本合同约定按时足额支付仓储服务费</w:t>
      </w:r>
      <w:r>
        <w:rPr>
          <w:rFonts w:ascii="仿宋_GB2312" w:hAnsi="Calibri" w:eastAsia="仿宋_GB2312"/>
          <w:color w:val="000000" w:themeColor="text1"/>
          <w:sz w:val="32"/>
          <w:szCs w:val="32"/>
        </w:rPr>
        <w:t>。</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五、仓储服务设施设备使用交接期限、方式及验收</w:t>
      </w:r>
    </w:p>
    <w:p>
      <w:pPr>
        <w:spacing w:line="590" w:lineRule="exact"/>
        <w:ind w:firstLine="709"/>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1.交付：甲方应按照仓储服务期限按时将立筒仓及设施设备交予乙方使用，乙方予以确认验收，并在交接时双方在相关资产及配套附属设备交接单上签字或盖章确认。</w:t>
      </w:r>
    </w:p>
    <w:p>
      <w:pPr>
        <w:spacing w:line="590" w:lineRule="exact"/>
        <w:ind w:firstLine="709"/>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2.交还：乙方应于仓储服务合作期满或合同解除后20日内，将立筒仓及设施设备完好交还甲方，甲方予以验收确认。按照合同约定乙方可带走的乙方所属所有物品同时移走，逾期未移走的，甲方有权进行处置。双方交接时在相关资产及配套附属设备交接单上签字或盖章确认。</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六、合同解除的条件</w:t>
      </w:r>
    </w:p>
    <w:p>
      <w:pPr>
        <w:spacing w:line="590" w:lineRule="exact"/>
        <w:ind w:firstLine="709"/>
        <w:rPr>
          <w:rFonts w:ascii="仿宋_GB2312" w:hAnsi="Calibri" w:eastAsia="仿宋_GB2312"/>
          <w:color w:val="000000" w:themeColor="text1"/>
          <w:sz w:val="32"/>
          <w:szCs w:val="32"/>
        </w:rPr>
      </w:pPr>
      <w:r>
        <w:rPr>
          <w:rFonts w:ascii="仿宋_GB2312" w:hAnsi="Calibri" w:eastAsia="仿宋_GB2312"/>
          <w:color w:val="000000" w:themeColor="text1"/>
          <w:sz w:val="32"/>
          <w:szCs w:val="32"/>
        </w:rPr>
        <w:t>1</w:t>
      </w:r>
      <w:r>
        <w:rPr>
          <w:rFonts w:hint="eastAsia" w:ascii="仿宋_GB2312" w:hAnsi="Calibri" w:eastAsia="仿宋_GB2312"/>
          <w:color w:val="000000" w:themeColor="text1"/>
          <w:sz w:val="32"/>
          <w:szCs w:val="32"/>
        </w:rPr>
        <w:t>.本合同一旦生效，甲乙双方必须共同严格执行，如发生违约，甲乙双方协商解决，有下列情形之一，本合同终止，甲乙双方互不承担违约责任：</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（1）该仓储服务设施设备因城市建设需要被依法拆迁范围的。</w:t>
      </w:r>
    </w:p>
    <w:p>
      <w:pPr>
        <w:spacing w:line="590" w:lineRule="exact"/>
        <w:ind w:firstLine="709"/>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（2）因法定不可抗力致房屋毁损、灭失或造成其他损失而无法继续使用的。</w:t>
      </w:r>
    </w:p>
    <w:p>
      <w:pPr>
        <w:spacing w:line="590" w:lineRule="exact"/>
        <w:ind w:firstLine="709"/>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（3）经双方协商一致的。</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2.甲方有下列情形之一的，乙方有权解除本合同：</w:t>
      </w:r>
    </w:p>
    <w:p>
      <w:pPr>
        <w:spacing w:line="590" w:lineRule="exact"/>
        <w:ind w:firstLine="640"/>
        <w:rPr>
          <w:rFonts w:ascii="仿宋_GB2312" w:hAnsi="Calibri" w:eastAsia="仿宋_GB2312"/>
          <w:color w:val="000000" w:themeColor="text1"/>
          <w:sz w:val="32"/>
          <w:szCs w:val="32"/>
        </w:rPr>
      </w:pPr>
      <w:r>
        <w:rPr>
          <w:rFonts w:ascii="仿宋_GB2312" w:hAnsi="Calibri" w:eastAsia="仿宋_GB2312"/>
          <w:color w:val="000000" w:themeColor="text1"/>
          <w:sz w:val="32"/>
          <w:szCs w:val="32"/>
        </w:rPr>
        <w:t>（</w:t>
      </w:r>
      <w:r>
        <w:rPr>
          <w:rFonts w:hint="eastAsia" w:ascii="仿宋_GB2312" w:hAnsi="Calibri" w:eastAsia="仿宋_GB2312"/>
          <w:color w:val="000000" w:themeColor="text1"/>
          <w:sz w:val="32"/>
          <w:szCs w:val="32"/>
        </w:rPr>
        <w:t>1）甲方在合同签订后20日内仍未将立筒仓及相关设备提供给乙方使用的。</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（2）甲方经乙方催告后</w:t>
      </w:r>
      <w:r>
        <w:rPr>
          <w:rFonts w:ascii="仿宋_GB2312" w:hAnsi="Calibri" w:eastAsia="仿宋_GB2312"/>
          <w:color w:val="000000" w:themeColor="text1"/>
          <w:sz w:val="32"/>
          <w:szCs w:val="32"/>
        </w:rPr>
        <w:t>，</w:t>
      </w:r>
      <w:r>
        <w:rPr>
          <w:rFonts w:hint="eastAsia" w:ascii="仿宋_GB2312" w:hAnsi="Calibri" w:eastAsia="仿宋_GB2312"/>
          <w:color w:val="000000" w:themeColor="text1"/>
          <w:sz w:val="32"/>
          <w:szCs w:val="32"/>
        </w:rPr>
        <w:t>甲方经过合理期限且无正当理由仍不进行立筒仓等建筑设施维修维护的。</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3.乙方有下列情形之一的，甲方有权解除本合同：</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（1）不支付或者不按照约定支付仓储服务费及相关费用的</w:t>
      </w:r>
      <w:r>
        <w:rPr>
          <w:rFonts w:ascii="仿宋_GB2312" w:hAnsi="Calibri" w:eastAsia="仿宋_GB2312"/>
          <w:color w:val="000000" w:themeColor="text1"/>
          <w:sz w:val="32"/>
          <w:szCs w:val="32"/>
        </w:rPr>
        <w:t>。</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（2）未经甲方书面同意，乙方擅自改变设备设施用途或转手交予第三方使用。</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（3）利用该设施设备从事违法活动。</w:t>
      </w:r>
    </w:p>
    <w:p>
      <w:pPr>
        <w:spacing w:line="590" w:lineRule="exact"/>
        <w:ind w:firstLine="640"/>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（4）将该设备设施用作任何形式的抵押。</w:t>
      </w:r>
    </w:p>
    <w:p>
      <w:pPr>
        <w:pStyle w:val="2"/>
        <w:spacing w:line="59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七、违约责任</w:t>
      </w:r>
    </w:p>
    <w:p>
      <w:pPr>
        <w:pStyle w:val="2"/>
        <w:spacing w:line="590" w:lineRule="exact"/>
        <w:ind w:firstLine="640" w:firstLineChars="200"/>
        <w:rPr>
          <w:rFonts w:ascii="仿宋_GB2312" w:hAnsi="仿宋_GB2312" w:eastAsia="仿宋_GB2312" w:cs="仿宋_GB2312"/>
          <w:color w:val="000000" w:themeColor="text1"/>
          <w:sz w:val="32"/>
          <w:szCs w:val="32"/>
        </w:rPr>
      </w:pPr>
      <w:r>
        <w:rPr>
          <w:rFonts w:ascii="仿宋_GB2312" w:hAnsi="仿宋_GB2312" w:eastAsia="仿宋_GB2312" w:cs="仿宋_GB2312"/>
          <w:color w:val="000000" w:themeColor="text1"/>
          <w:sz w:val="32"/>
          <w:szCs w:val="32"/>
        </w:rPr>
        <w:t>1.</w:t>
      </w:r>
      <w:r>
        <w:rPr>
          <w:rFonts w:hint="eastAsia" w:ascii="仿宋_GB2312" w:hAnsi="仿宋_GB2312" w:eastAsia="仿宋_GB2312" w:cs="仿宋_GB2312"/>
          <w:color w:val="000000" w:themeColor="text1"/>
          <w:sz w:val="32"/>
          <w:szCs w:val="32"/>
        </w:rPr>
        <w:t>乙方应当严格按照本合同约定履行合同义务</w:t>
      </w:r>
      <w:r>
        <w:rPr>
          <w:rFonts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rPr>
        <w:t>乙方违反本合同的</w:t>
      </w:r>
      <w:r>
        <w:rPr>
          <w:rFonts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rPr>
        <w:t>应当向甲方承担合同总价款</w:t>
      </w:r>
      <w:r>
        <w:rPr>
          <w:rFonts w:ascii="仿宋_GB2312" w:hAnsi="仿宋_GB2312" w:eastAsia="仿宋_GB2312" w:cs="仿宋_GB2312"/>
          <w:color w:val="000000" w:themeColor="text1"/>
          <w:sz w:val="32"/>
          <w:szCs w:val="32"/>
        </w:rPr>
        <w:t>20%</w:t>
      </w:r>
      <w:r>
        <w:rPr>
          <w:rFonts w:hint="eastAsia" w:ascii="仿宋_GB2312" w:hAnsi="仿宋_GB2312" w:eastAsia="仿宋_GB2312" w:cs="仿宋_GB2312"/>
          <w:color w:val="000000" w:themeColor="text1"/>
          <w:sz w:val="32"/>
          <w:szCs w:val="32"/>
        </w:rPr>
        <w:t>的违约金</w:t>
      </w:r>
      <w:r>
        <w:rPr>
          <w:rFonts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rPr>
        <w:t>违约金不足以弥补甲方损失的</w:t>
      </w:r>
      <w:r>
        <w:rPr>
          <w:rFonts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rPr>
        <w:t>乙方应当继续赔偿</w:t>
      </w:r>
      <w:r>
        <w:rPr>
          <w:rFonts w:ascii="仿宋_GB2312" w:hAnsi="仿宋_GB2312" w:eastAsia="仿宋_GB2312" w:cs="仿宋_GB2312"/>
          <w:color w:val="000000" w:themeColor="text1"/>
          <w:sz w:val="32"/>
          <w:szCs w:val="32"/>
        </w:rPr>
        <w:t>。</w:t>
      </w:r>
    </w:p>
    <w:p>
      <w:pPr>
        <w:pStyle w:val="2"/>
        <w:spacing w:line="590" w:lineRule="exact"/>
        <w:ind w:firstLine="640" w:firstLineChars="200"/>
        <w:rPr>
          <w:rFonts w:ascii="仿宋_GB2312" w:hAnsi="仿宋_GB2312" w:eastAsia="仿宋_GB2312" w:cs="仿宋_GB2312"/>
          <w:color w:val="000000" w:themeColor="text1"/>
          <w:sz w:val="32"/>
          <w:szCs w:val="32"/>
        </w:rPr>
      </w:pPr>
      <w:r>
        <w:rPr>
          <w:rFonts w:ascii="仿宋_GB2312" w:hAnsi="仿宋_GB2312" w:eastAsia="仿宋_GB2312" w:cs="仿宋_GB2312"/>
          <w:color w:val="000000" w:themeColor="text1"/>
          <w:sz w:val="32"/>
          <w:szCs w:val="32"/>
        </w:rPr>
        <w:t>2</w:t>
      </w:r>
      <w:r>
        <w:rPr>
          <w:rFonts w:hint="eastAsia" w:ascii="仿宋_GB2312" w:hAnsi="仿宋_GB2312" w:eastAsia="仿宋_GB2312" w:cs="仿宋_GB2312"/>
          <w:color w:val="000000" w:themeColor="text1"/>
          <w:sz w:val="32"/>
          <w:szCs w:val="32"/>
        </w:rPr>
        <w:t>.乙方逾期</w:t>
      </w:r>
      <w:r>
        <w:rPr>
          <w:rFonts w:hint="eastAsia" w:ascii="仿宋_GB2312" w:hAnsi="Calibri" w:eastAsia="仿宋_GB2312"/>
          <w:color w:val="000000" w:themeColor="text1"/>
          <w:sz w:val="32"/>
          <w:szCs w:val="32"/>
        </w:rPr>
        <w:t>付款</w:t>
      </w:r>
      <w:r>
        <w:rPr>
          <w:rFonts w:hint="eastAsia" w:ascii="仿宋_GB2312" w:hAnsi="仿宋_GB2312" w:eastAsia="仿宋_GB2312" w:cs="仿宋_GB2312"/>
          <w:color w:val="000000" w:themeColor="text1"/>
          <w:sz w:val="32"/>
          <w:szCs w:val="32"/>
        </w:rPr>
        <w:t>的</w:t>
      </w:r>
      <w:r>
        <w:rPr>
          <w:rFonts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rPr>
        <w:t>自逾期之日起</w:t>
      </w:r>
      <w:r>
        <w:rPr>
          <w:rFonts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rPr>
        <w:t>按照逾期金额日万分之三的标准向甲方支付违约金</w:t>
      </w:r>
      <w:r>
        <w:rPr>
          <w:rFonts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rPr>
        <w:t>逾期6</w:t>
      </w:r>
      <w:r>
        <w:rPr>
          <w:rFonts w:ascii="仿宋_GB2312" w:hAnsi="仿宋_GB2312" w:eastAsia="仿宋_GB2312" w:cs="仿宋_GB2312"/>
          <w:color w:val="000000" w:themeColor="text1"/>
          <w:sz w:val="32"/>
          <w:szCs w:val="32"/>
        </w:rPr>
        <w:t>0</w:t>
      </w:r>
      <w:r>
        <w:rPr>
          <w:rFonts w:hint="eastAsia" w:ascii="仿宋_GB2312" w:hAnsi="仿宋_GB2312" w:eastAsia="仿宋_GB2312" w:cs="仿宋_GB2312"/>
          <w:color w:val="000000" w:themeColor="text1"/>
          <w:sz w:val="32"/>
          <w:szCs w:val="32"/>
        </w:rPr>
        <w:t>日及以上的</w:t>
      </w:r>
      <w:r>
        <w:rPr>
          <w:rFonts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rPr>
        <w:t>甲方有权随时解除合同</w:t>
      </w:r>
      <w:r>
        <w:rPr>
          <w:rFonts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rPr>
        <w:t>乙方应当向甲方支付合同总价款</w:t>
      </w:r>
      <w:r>
        <w:rPr>
          <w:rFonts w:ascii="仿宋_GB2312" w:hAnsi="仿宋_GB2312" w:eastAsia="仿宋_GB2312" w:cs="仿宋_GB2312"/>
          <w:color w:val="000000" w:themeColor="text1"/>
          <w:sz w:val="32"/>
          <w:szCs w:val="32"/>
        </w:rPr>
        <w:t>20%</w:t>
      </w:r>
      <w:r>
        <w:rPr>
          <w:rFonts w:hint="eastAsia" w:ascii="仿宋_GB2312" w:hAnsi="仿宋_GB2312" w:eastAsia="仿宋_GB2312" w:cs="仿宋_GB2312"/>
          <w:color w:val="000000" w:themeColor="text1"/>
          <w:sz w:val="32"/>
          <w:szCs w:val="32"/>
        </w:rPr>
        <w:t>的违约金</w:t>
      </w:r>
      <w:r>
        <w:rPr>
          <w:rFonts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rPr>
        <w:t>违约金不足以弥补甲方损失的</w:t>
      </w:r>
      <w:r>
        <w:rPr>
          <w:rFonts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rPr>
        <w:t>乙方应当继续赔偿</w:t>
      </w:r>
      <w:r>
        <w:rPr>
          <w:rFonts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rPr>
        <w:t>同时</w:t>
      </w:r>
      <w:r>
        <w:rPr>
          <w:rFonts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rPr>
        <w:t>甲方有权留置乙方储存于甲方立筒仓中的货物</w:t>
      </w:r>
      <w:r>
        <w:rPr>
          <w:rFonts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rPr>
        <w:t>乙方逾期不付款的</w:t>
      </w:r>
      <w:r>
        <w:rPr>
          <w:rFonts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rPr>
        <w:t>甲方有权自行处置被留置的货物并要求乙方承担相应的处置费用，甲方从处置所得费用中扣除处置费用、乙方欠付款项后将剩余价款转付给乙方</w:t>
      </w:r>
      <w:r>
        <w:rPr>
          <w:rFonts w:ascii="仿宋_GB2312" w:hAnsi="仿宋_GB2312" w:eastAsia="仿宋_GB2312" w:cs="仿宋_GB2312"/>
          <w:color w:val="000000" w:themeColor="text1"/>
          <w:sz w:val="32"/>
          <w:szCs w:val="32"/>
        </w:rPr>
        <w:t>。</w:t>
      </w:r>
    </w:p>
    <w:p>
      <w:pPr>
        <w:pStyle w:val="2"/>
        <w:spacing w:line="590" w:lineRule="exact"/>
        <w:ind w:firstLine="640" w:firstLineChars="200"/>
        <w:rPr>
          <w:rFonts w:ascii="仿宋_GB2312" w:hAnsi="仿宋_GB2312" w:eastAsia="仿宋_GB2312" w:cs="仿宋_GB2312"/>
          <w:color w:val="000000" w:themeColor="text1"/>
          <w:sz w:val="32"/>
          <w:szCs w:val="32"/>
        </w:rPr>
      </w:pPr>
      <w:r>
        <w:rPr>
          <w:rFonts w:ascii="仿宋_GB2312" w:hAnsi="仿宋_GB2312" w:eastAsia="仿宋_GB2312" w:cs="仿宋_GB2312"/>
          <w:color w:val="000000" w:themeColor="text1"/>
          <w:sz w:val="32"/>
          <w:szCs w:val="32"/>
        </w:rPr>
        <w:t>3</w:t>
      </w:r>
      <w:r>
        <w:rPr>
          <w:rFonts w:hint="eastAsia" w:ascii="仿宋_GB2312" w:hAnsi="仿宋_GB2312" w:eastAsia="仿宋_GB2312" w:cs="仿宋_GB2312"/>
          <w:color w:val="000000" w:themeColor="text1"/>
          <w:sz w:val="32"/>
          <w:szCs w:val="32"/>
        </w:rPr>
        <w:t>.乙方在使用本合同约定的甲方立筒仓及设备设施过程中</w:t>
      </w:r>
      <w:r>
        <w:rPr>
          <w:rFonts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rPr>
        <w:t>应当严格按照本合同约定及甲方要求使用并维护</w:t>
      </w:r>
      <w:r>
        <w:rPr>
          <w:rFonts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rPr>
        <w:t>造成甲方立筒仓及设施设备损坏的</w:t>
      </w:r>
      <w:r>
        <w:rPr>
          <w:rFonts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rPr>
        <w:t>乙方应当承担赔偿责任</w:t>
      </w:r>
      <w:r>
        <w:rPr>
          <w:rFonts w:ascii="仿宋_GB2312" w:hAnsi="仿宋_GB2312" w:eastAsia="仿宋_GB2312" w:cs="仿宋_GB2312"/>
          <w:color w:val="000000" w:themeColor="text1"/>
          <w:sz w:val="32"/>
          <w:szCs w:val="32"/>
        </w:rPr>
        <w:t>。</w:t>
      </w:r>
    </w:p>
    <w:p>
      <w:pPr>
        <w:widowControl/>
        <w:spacing w:line="590" w:lineRule="exact"/>
        <w:ind w:firstLine="64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八、不可抗力</w:t>
      </w:r>
    </w:p>
    <w:p>
      <w:pPr>
        <w:pStyle w:val="2"/>
        <w:spacing w:line="59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由于不能预见并且对其发生和后果不能防止或避免的不可抗力事故,致使直接影响合同履行或约定的条件履行时，遇到不可抗力的一方应立即将事故情况通知对方,并应在十日内提供事故详情及合同不能履行或者部分不能履行需要延期履行理由的有效证明文件,此项证明文件应由事故发生地区的公证机构出具。按照事故对履行合同影响程度，由双方协商决定是否解除合同，或部分免除履行合同的责任，或延期履行合同。</w:t>
      </w:r>
    </w:p>
    <w:p>
      <w:pPr>
        <w:pStyle w:val="2"/>
        <w:spacing w:line="59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九、如有未尽事宜甲乙双方可补充协商或在结算清单予以列明，其协议内容以及结算清单与此协议具有同等法律效力。业务期间发生的所有单据传真件、复印件、扫描件等，同样具有同等法律效力。</w:t>
      </w:r>
    </w:p>
    <w:p>
      <w:pPr>
        <w:widowControl/>
        <w:spacing w:line="590" w:lineRule="exact"/>
        <w:ind w:firstLine="640"/>
        <w:jc w:val="lef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十、合同纠纷解决方式</w:t>
      </w:r>
    </w:p>
    <w:p>
      <w:pPr>
        <w:widowControl/>
        <w:spacing w:line="590" w:lineRule="exact"/>
        <w:ind w:firstLine="640" w:firstLineChars="200"/>
        <w:jc w:val="lef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如甲乙双方在合同履行过程中发生纠纷应协商解决，协商不成时,应在甲方所在地有管辖权的法院起诉。</w:t>
      </w:r>
    </w:p>
    <w:p>
      <w:pPr>
        <w:widowControl/>
        <w:spacing w:line="590" w:lineRule="exact"/>
        <w:ind w:firstLine="640"/>
        <w:jc w:val="lef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十一、本合同自甲乙双方签字或者盖章后生效（扫描传真件与原合同具有同等法律效力），本合同一式肆份，甲乙方各执贰份。</w:t>
      </w:r>
    </w:p>
    <w:p>
      <w:pPr>
        <w:widowControl/>
        <w:spacing w:line="590" w:lineRule="exact"/>
        <w:jc w:val="left"/>
        <w:rPr>
          <w:rFonts w:ascii="仿宋_GB2312" w:hAnsi="Calibri" w:eastAsia="仿宋_GB2312"/>
          <w:color w:val="000000" w:themeColor="text1"/>
          <w:sz w:val="32"/>
          <w:szCs w:val="32"/>
        </w:rPr>
      </w:pPr>
    </w:p>
    <w:p>
      <w:pPr>
        <w:widowControl/>
        <w:spacing w:line="590" w:lineRule="exact"/>
        <w:jc w:val="lef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甲  方：成都市大茂丰粮油贸易有限公司</w:t>
      </w:r>
    </w:p>
    <w:p>
      <w:pPr>
        <w:widowControl/>
        <w:spacing w:line="590" w:lineRule="exact"/>
        <w:jc w:val="lef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单位地址：成都市青白江区弥牟镇粮仓路9号</w:t>
      </w:r>
    </w:p>
    <w:p>
      <w:pPr>
        <w:widowControl/>
        <w:spacing w:line="590" w:lineRule="exact"/>
        <w:jc w:val="lef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法定代表人或授权委托人：</w:t>
      </w:r>
    </w:p>
    <w:p>
      <w:pPr>
        <w:widowControl/>
        <w:spacing w:line="590" w:lineRule="exact"/>
        <w:jc w:val="lef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电  话：</w:t>
      </w:r>
    </w:p>
    <w:p>
      <w:pPr>
        <w:widowControl/>
        <w:spacing w:line="590" w:lineRule="exact"/>
        <w:jc w:val="lef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传  真：</w:t>
      </w:r>
    </w:p>
    <w:p>
      <w:pPr>
        <w:widowControl/>
        <w:spacing w:line="590" w:lineRule="exact"/>
        <w:jc w:val="lef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开户行：</w:t>
      </w:r>
    </w:p>
    <w:p>
      <w:pPr>
        <w:widowControl/>
        <w:spacing w:line="590" w:lineRule="exact"/>
        <w:jc w:val="lef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账  号：</w:t>
      </w:r>
    </w:p>
    <w:p>
      <w:pPr>
        <w:widowControl/>
        <w:spacing w:line="590" w:lineRule="exact"/>
        <w:jc w:val="lef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税  号：</w:t>
      </w:r>
    </w:p>
    <w:p>
      <w:pPr>
        <w:widowControl/>
        <w:spacing w:line="590" w:lineRule="exact"/>
        <w:jc w:val="lef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邮政编码：</w:t>
      </w:r>
    </w:p>
    <w:p>
      <w:pPr>
        <w:widowControl/>
        <w:spacing w:line="590" w:lineRule="exact"/>
        <w:jc w:val="lef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年    月   日</w:t>
      </w:r>
    </w:p>
    <w:p>
      <w:pPr>
        <w:widowControl/>
        <w:spacing w:line="590" w:lineRule="exact"/>
        <w:jc w:val="lef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 xml:space="preserve">乙  方： </w:t>
      </w:r>
    </w:p>
    <w:p>
      <w:pPr>
        <w:widowControl/>
        <w:spacing w:line="590" w:lineRule="exact"/>
        <w:jc w:val="lef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 xml:space="preserve">单位地址： </w:t>
      </w:r>
    </w:p>
    <w:p>
      <w:pPr>
        <w:widowControl/>
        <w:spacing w:line="590" w:lineRule="exact"/>
        <w:jc w:val="lef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法定代表人或授权委托人：</w:t>
      </w:r>
    </w:p>
    <w:p>
      <w:pPr>
        <w:widowControl/>
        <w:spacing w:line="590" w:lineRule="exact"/>
        <w:jc w:val="lef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电  话：</w:t>
      </w:r>
    </w:p>
    <w:p>
      <w:pPr>
        <w:widowControl/>
        <w:spacing w:line="590" w:lineRule="exact"/>
        <w:jc w:val="lef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传  真：</w:t>
      </w:r>
    </w:p>
    <w:p>
      <w:pPr>
        <w:widowControl/>
        <w:spacing w:line="590" w:lineRule="exact"/>
        <w:jc w:val="lef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开户行：</w:t>
      </w:r>
    </w:p>
    <w:p>
      <w:pPr>
        <w:widowControl/>
        <w:spacing w:line="590" w:lineRule="exact"/>
        <w:jc w:val="lef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账  号：</w:t>
      </w:r>
    </w:p>
    <w:p>
      <w:pPr>
        <w:widowControl/>
        <w:spacing w:line="590" w:lineRule="exact"/>
        <w:jc w:val="lef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税  号：</w:t>
      </w:r>
    </w:p>
    <w:p>
      <w:pPr>
        <w:widowControl/>
        <w:spacing w:line="590" w:lineRule="exact"/>
        <w:jc w:val="left"/>
        <w:rPr>
          <w:rFonts w:ascii="仿宋_GB2312" w:hAnsi="Calibri" w:eastAsia="仿宋_GB2312"/>
          <w:color w:val="000000" w:themeColor="text1"/>
          <w:sz w:val="32"/>
          <w:szCs w:val="32"/>
        </w:rPr>
      </w:pPr>
      <w:r>
        <w:rPr>
          <w:rFonts w:hint="eastAsia" w:ascii="仿宋_GB2312" w:hAnsi="Calibri" w:eastAsia="仿宋_GB2312"/>
          <w:color w:val="000000" w:themeColor="text1"/>
          <w:sz w:val="32"/>
          <w:szCs w:val="32"/>
        </w:rPr>
        <w:t>邮政编码：                                                  年    月   日</w:t>
      </w:r>
    </w:p>
    <w:p>
      <w:pPr>
        <w:widowControl/>
        <w:rPr>
          <w:rFonts w:ascii="仿宋_GB2312" w:hAnsi="黑体" w:eastAsia="仿宋_GB2312" w:cs="仿宋"/>
          <w:color w:val="000000"/>
          <w:sz w:val="32"/>
          <w:szCs w:val="32"/>
        </w:rPr>
      </w:pPr>
    </w:p>
    <w:bookmarkEnd w:id="0"/>
    <w:p>
      <w:pPr>
        <w:widowControl/>
        <w:jc w:val="left"/>
        <w:rPr>
          <w:rFonts w:ascii="黑体" w:hAnsi="黑体" w:eastAsia="黑体" w:cs="仿宋"/>
          <w:color w:val="000000"/>
          <w:sz w:val="28"/>
          <w:szCs w:val="28"/>
        </w:rPr>
      </w:pPr>
      <w:r>
        <w:rPr>
          <w:rFonts w:ascii="方正小标宋简体" w:hAnsi="Calibri" w:eastAsia="方正小标宋简体"/>
          <w:sz w:val="44"/>
          <w:szCs w:val="44"/>
        </w:rPr>
        <w:br w:type="page"/>
      </w:r>
      <w:r>
        <w:rPr>
          <w:rFonts w:ascii="黑体" w:hAnsi="黑体" w:eastAsia="黑体" w:cs="仿宋"/>
          <w:color w:val="000000"/>
          <w:sz w:val="28"/>
          <w:szCs w:val="28"/>
        </w:rPr>
        <w:t>附件</w:t>
      </w:r>
      <w:r>
        <w:rPr>
          <w:rFonts w:hint="eastAsia" w:ascii="黑体" w:hAnsi="黑体" w:eastAsia="黑体" w:cs="仿宋"/>
          <w:color w:val="000000"/>
          <w:sz w:val="28"/>
          <w:szCs w:val="28"/>
        </w:rPr>
        <w:t>1-3</w:t>
      </w:r>
    </w:p>
    <w:p>
      <w:pPr>
        <w:jc w:val="center"/>
        <w:rPr>
          <w:rFonts w:ascii="黑体" w:hAnsi="黑体" w:eastAsia="黑体"/>
          <w:b/>
          <w:sz w:val="36"/>
          <w:szCs w:val="36"/>
        </w:rPr>
      </w:pPr>
      <w:r>
        <w:rPr>
          <w:rFonts w:hint="eastAsia" w:ascii="黑体" w:hAnsi="黑体" w:eastAsia="黑体"/>
          <w:b/>
          <w:sz w:val="36"/>
          <w:szCs w:val="36"/>
        </w:rPr>
        <w:t>成都市大茂丰粮油贸易有限公司</w:t>
      </w:r>
    </w:p>
    <w:p>
      <w:pPr>
        <w:jc w:val="center"/>
        <w:rPr>
          <w:rFonts w:ascii="黑体" w:hAnsi="黑体" w:eastAsia="黑体"/>
          <w:sz w:val="36"/>
          <w:szCs w:val="36"/>
        </w:rPr>
      </w:pPr>
      <w:r>
        <w:rPr>
          <w:rFonts w:hint="eastAsia" w:ascii="黑体" w:hAnsi="黑体" w:eastAsia="黑体"/>
          <w:b/>
          <w:sz w:val="36"/>
          <w:szCs w:val="36"/>
        </w:rPr>
        <w:t>立筒仓及配套设施设备对外提供仓储服务项目</w:t>
      </w:r>
    </w:p>
    <w:p>
      <w:pPr>
        <w:rPr>
          <w:rFonts w:ascii="黑体" w:hAnsi="黑体" w:eastAsia="黑体"/>
          <w:sz w:val="44"/>
          <w:szCs w:val="44"/>
        </w:rPr>
      </w:pPr>
    </w:p>
    <w:p>
      <w:pPr>
        <w:rPr>
          <w:rFonts w:ascii="黑体" w:hAnsi="黑体" w:eastAsia="黑体"/>
          <w:sz w:val="44"/>
          <w:szCs w:val="44"/>
        </w:rPr>
      </w:pPr>
    </w:p>
    <w:p>
      <w:pPr>
        <w:jc w:val="center"/>
        <w:rPr>
          <w:rFonts w:ascii="黑体" w:hAnsi="黑体" w:eastAsia="黑体"/>
          <w:b/>
          <w:sz w:val="36"/>
          <w:szCs w:val="36"/>
        </w:rPr>
      </w:pPr>
      <w:r>
        <w:rPr>
          <w:rFonts w:hint="eastAsia" w:ascii="黑体" w:hAnsi="黑体" w:eastAsia="黑体"/>
          <w:b/>
          <w:sz w:val="36"/>
          <w:szCs w:val="36"/>
        </w:rPr>
        <w:t>比</w:t>
      </w:r>
    </w:p>
    <w:p>
      <w:pPr>
        <w:jc w:val="center"/>
        <w:rPr>
          <w:rFonts w:ascii="黑体" w:hAnsi="黑体" w:eastAsia="黑体"/>
          <w:b/>
          <w:sz w:val="36"/>
          <w:szCs w:val="36"/>
        </w:rPr>
      </w:pPr>
    </w:p>
    <w:p>
      <w:pPr>
        <w:jc w:val="center"/>
        <w:rPr>
          <w:rFonts w:ascii="黑体" w:hAnsi="黑体" w:eastAsia="黑体"/>
          <w:b/>
          <w:sz w:val="36"/>
          <w:szCs w:val="36"/>
        </w:rPr>
      </w:pPr>
      <w:r>
        <w:rPr>
          <w:rFonts w:hint="eastAsia" w:ascii="黑体" w:hAnsi="黑体" w:eastAsia="黑体"/>
          <w:b/>
          <w:sz w:val="36"/>
          <w:szCs w:val="36"/>
        </w:rPr>
        <w:t>选</w:t>
      </w:r>
    </w:p>
    <w:p>
      <w:pPr>
        <w:jc w:val="center"/>
        <w:rPr>
          <w:rFonts w:ascii="黑体" w:hAnsi="黑体" w:eastAsia="黑体"/>
          <w:b/>
          <w:sz w:val="36"/>
          <w:szCs w:val="36"/>
        </w:rPr>
      </w:pPr>
    </w:p>
    <w:p>
      <w:pPr>
        <w:jc w:val="center"/>
        <w:rPr>
          <w:rFonts w:ascii="黑体" w:hAnsi="黑体" w:eastAsia="黑体"/>
          <w:b/>
          <w:sz w:val="36"/>
          <w:szCs w:val="36"/>
        </w:rPr>
      </w:pPr>
      <w:r>
        <w:rPr>
          <w:rFonts w:hint="eastAsia" w:ascii="黑体" w:hAnsi="黑体" w:eastAsia="黑体"/>
          <w:b/>
          <w:sz w:val="36"/>
          <w:szCs w:val="36"/>
        </w:rPr>
        <w:t>申</w:t>
      </w:r>
    </w:p>
    <w:p>
      <w:pPr>
        <w:jc w:val="center"/>
        <w:rPr>
          <w:rFonts w:ascii="黑体" w:hAnsi="黑体" w:eastAsia="黑体"/>
          <w:b/>
          <w:sz w:val="36"/>
          <w:szCs w:val="36"/>
        </w:rPr>
      </w:pPr>
    </w:p>
    <w:p>
      <w:pPr>
        <w:jc w:val="center"/>
        <w:rPr>
          <w:rFonts w:ascii="黑体" w:hAnsi="黑体" w:eastAsia="黑体"/>
          <w:b/>
          <w:sz w:val="36"/>
          <w:szCs w:val="36"/>
        </w:rPr>
      </w:pPr>
      <w:r>
        <w:rPr>
          <w:rFonts w:hint="eastAsia" w:ascii="黑体" w:hAnsi="黑体" w:eastAsia="黑体"/>
          <w:b/>
          <w:sz w:val="36"/>
          <w:szCs w:val="36"/>
        </w:rPr>
        <w:t xml:space="preserve">请 </w:t>
      </w:r>
    </w:p>
    <w:p>
      <w:pPr>
        <w:jc w:val="center"/>
        <w:rPr>
          <w:rFonts w:ascii="黑体" w:hAnsi="黑体" w:eastAsia="黑体"/>
          <w:b/>
          <w:sz w:val="36"/>
          <w:szCs w:val="36"/>
        </w:rPr>
      </w:pPr>
    </w:p>
    <w:p>
      <w:pPr>
        <w:jc w:val="center"/>
        <w:rPr>
          <w:rFonts w:ascii="黑体" w:hAnsi="黑体" w:eastAsia="黑体"/>
          <w:b/>
          <w:sz w:val="36"/>
          <w:szCs w:val="36"/>
        </w:rPr>
      </w:pPr>
      <w:r>
        <w:rPr>
          <w:rFonts w:hint="eastAsia" w:ascii="黑体" w:hAnsi="黑体" w:eastAsia="黑体"/>
          <w:b/>
          <w:sz w:val="36"/>
          <w:szCs w:val="36"/>
        </w:rPr>
        <w:t xml:space="preserve">文 </w:t>
      </w:r>
    </w:p>
    <w:p>
      <w:pPr>
        <w:jc w:val="center"/>
        <w:rPr>
          <w:rFonts w:ascii="黑体" w:hAnsi="黑体" w:eastAsia="黑体"/>
          <w:b/>
          <w:sz w:val="36"/>
          <w:szCs w:val="36"/>
        </w:rPr>
      </w:pPr>
    </w:p>
    <w:p>
      <w:pPr>
        <w:jc w:val="center"/>
        <w:rPr>
          <w:rFonts w:ascii="黑体" w:hAnsi="黑体" w:eastAsia="黑体"/>
          <w:b/>
          <w:sz w:val="36"/>
          <w:szCs w:val="36"/>
        </w:rPr>
      </w:pPr>
      <w:r>
        <w:rPr>
          <w:rFonts w:hint="eastAsia" w:ascii="黑体" w:hAnsi="黑体" w:eastAsia="黑体"/>
          <w:b/>
          <w:sz w:val="36"/>
          <w:szCs w:val="36"/>
        </w:rPr>
        <w:t>件</w:t>
      </w:r>
    </w:p>
    <w:p>
      <w:pPr>
        <w:jc w:val="center"/>
        <w:rPr>
          <w:rFonts w:ascii="黑体" w:hAnsi="黑体" w:eastAsia="黑体"/>
          <w:b/>
          <w:sz w:val="44"/>
          <w:szCs w:val="44"/>
        </w:rPr>
      </w:pPr>
    </w:p>
    <w:p>
      <w:pPr>
        <w:rPr>
          <w:rFonts w:ascii="黑体" w:hAnsi="黑体" w:eastAsia="黑体"/>
          <w:b/>
          <w:sz w:val="36"/>
          <w:szCs w:val="36"/>
        </w:rPr>
      </w:pPr>
      <w:r>
        <w:rPr>
          <w:rFonts w:hint="eastAsia" w:ascii="黑体" w:hAnsi="黑体" w:eastAsia="黑体"/>
          <w:b/>
          <w:sz w:val="36"/>
          <w:szCs w:val="36"/>
        </w:rPr>
        <w:t xml:space="preserve">比选申请人： </w:t>
      </w:r>
    </w:p>
    <w:p>
      <w:pPr>
        <w:rPr>
          <w:rFonts w:ascii="黑体" w:hAnsi="黑体" w:eastAsia="黑体"/>
          <w:sz w:val="36"/>
          <w:szCs w:val="36"/>
        </w:rPr>
      </w:pPr>
    </w:p>
    <w:p>
      <w:pPr>
        <w:jc w:val="center"/>
        <w:rPr>
          <w:rFonts w:ascii="黑体" w:hAnsi="黑体" w:eastAsia="黑体"/>
          <w:b/>
          <w:sz w:val="36"/>
          <w:szCs w:val="36"/>
        </w:rPr>
      </w:pPr>
      <w:r>
        <w:rPr>
          <w:rFonts w:hint="eastAsia" w:ascii="黑体" w:hAnsi="黑体" w:eastAsia="黑体"/>
          <w:b/>
          <w:sz w:val="36"/>
          <w:szCs w:val="36"/>
        </w:rPr>
        <w:t>二0二二年  月  日</w:t>
      </w:r>
    </w:p>
    <w:p>
      <w:pPr>
        <w:widowControl/>
        <w:jc w:val="center"/>
        <w:rPr>
          <w:rFonts w:ascii="黑体" w:hAnsi="黑体" w:eastAsia="黑体"/>
          <w:b/>
          <w:sz w:val="28"/>
          <w:szCs w:val="28"/>
        </w:rPr>
      </w:pPr>
      <w:bookmarkStart w:id="2" w:name="_Toc197934561"/>
      <w:bookmarkStart w:id="3" w:name="_Toc248635537"/>
      <w:bookmarkStart w:id="4" w:name="_Hlt509738521"/>
      <w:bookmarkStart w:id="5" w:name="_Hlt509738509"/>
      <w:bookmarkStart w:id="6" w:name="_Hlt519045391"/>
      <w:r>
        <w:rPr>
          <w:rFonts w:ascii="黑体" w:hAnsi="黑体" w:eastAsia="黑体"/>
          <w:b/>
          <w:sz w:val="28"/>
          <w:szCs w:val="28"/>
        </w:rPr>
        <w:br w:type="page"/>
      </w:r>
      <w:r>
        <w:rPr>
          <w:rFonts w:hint="eastAsia" w:ascii="黑体" w:hAnsi="黑体" w:eastAsia="黑体"/>
          <w:b/>
          <w:sz w:val="28"/>
          <w:szCs w:val="28"/>
        </w:rPr>
        <w:t>一、比选评审一览表</w:t>
      </w:r>
      <w:bookmarkEnd w:id="2"/>
      <w:bookmarkEnd w:id="3"/>
      <w:r>
        <w:rPr>
          <w:rFonts w:hint="eastAsia" w:ascii="黑体" w:hAnsi="黑体" w:eastAsia="黑体"/>
          <w:b/>
          <w:sz w:val="28"/>
          <w:szCs w:val="28"/>
        </w:rPr>
        <w:t>（报价表）</w:t>
      </w:r>
    </w:p>
    <w:tbl>
      <w:tblPr>
        <w:tblStyle w:val="15"/>
        <w:tblW w:w="92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8"/>
        <w:gridCol w:w="6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0" w:hRule="atLeast"/>
          <w:jc w:val="center"/>
        </w:trPr>
        <w:tc>
          <w:tcPr>
            <w:tcW w:w="2498" w:type="dxa"/>
            <w:tcBorders>
              <w:top w:val="single" w:color="auto" w:sz="4" w:space="0"/>
              <w:bottom w:val="single" w:color="auto" w:sz="4" w:space="0"/>
              <w:right w:val="single" w:color="auto" w:sz="4" w:space="0"/>
            </w:tcBorders>
            <w:vAlign w:val="center"/>
          </w:tcPr>
          <w:p>
            <w:pPr>
              <w:widowControl/>
              <w:spacing w:line="440" w:lineRule="exact"/>
              <w:jc w:val="left"/>
              <w:rPr>
                <w:rFonts w:ascii="仿宋_GB2312" w:hAnsi="Calibri" w:eastAsia="仿宋_GB2312"/>
                <w:sz w:val="32"/>
                <w:szCs w:val="32"/>
              </w:rPr>
            </w:pPr>
            <w:r>
              <w:rPr>
                <w:rFonts w:hint="eastAsia" w:ascii="仿宋_GB2312" w:hAnsi="Calibri" w:eastAsia="仿宋_GB2312"/>
                <w:sz w:val="32"/>
                <w:szCs w:val="32"/>
              </w:rPr>
              <w:t>项 目 名 称</w:t>
            </w:r>
          </w:p>
        </w:tc>
        <w:tc>
          <w:tcPr>
            <w:tcW w:w="6739" w:type="dxa"/>
            <w:tcBorders>
              <w:top w:val="single" w:color="auto" w:sz="4" w:space="0"/>
              <w:bottom w:val="single" w:color="auto" w:sz="4" w:space="0"/>
              <w:right w:val="single" w:color="auto" w:sz="4" w:space="0"/>
            </w:tcBorders>
            <w:vAlign w:val="center"/>
          </w:tcPr>
          <w:p>
            <w:pPr>
              <w:spacing w:line="480" w:lineRule="exact"/>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8" w:hRule="atLeast"/>
          <w:jc w:val="center"/>
        </w:trPr>
        <w:tc>
          <w:tcPr>
            <w:tcW w:w="2498" w:type="dxa"/>
            <w:tcBorders>
              <w:top w:val="nil"/>
            </w:tcBorders>
            <w:vAlign w:val="center"/>
          </w:tcPr>
          <w:p>
            <w:pPr>
              <w:widowControl/>
              <w:spacing w:line="440" w:lineRule="exact"/>
              <w:jc w:val="left"/>
              <w:rPr>
                <w:rFonts w:ascii="仿宋_GB2312" w:hAnsi="Calibri" w:eastAsia="仿宋_GB2312"/>
                <w:sz w:val="32"/>
                <w:szCs w:val="32"/>
              </w:rPr>
            </w:pPr>
            <w:r>
              <w:rPr>
                <w:rFonts w:hint="eastAsia" w:ascii="仿宋_GB2312" w:hAnsi="Calibri" w:eastAsia="仿宋_GB2312"/>
                <w:sz w:val="32"/>
                <w:szCs w:val="32"/>
              </w:rPr>
              <w:t>比选申请人全称</w:t>
            </w:r>
          </w:p>
        </w:tc>
        <w:tc>
          <w:tcPr>
            <w:tcW w:w="6739" w:type="dxa"/>
            <w:tcBorders>
              <w:top w:val="nil"/>
            </w:tcBorders>
            <w:vAlign w:val="center"/>
          </w:tcPr>
          <w:p>
            <w:pPr>
              <w:spacing w:line="480" w:lineRule="exact"/>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8" w:hRule="atLeast"/>
          <w:jc w:val="center"/>
        </w:trPr>
        <w:tc>
          <w:tcPr>
            <w:tcW w:w="2498" w:type="dxa"/>
            <w:tcBorders>
              <w:top w:val="nil"/>
            </w:tcBorders>
            <w:vAlign w:val="center"/>
          </w:tcPr>
          <w:p>
            <w:pPr>
              <w:widowControl/>
              <w:spacing w:line="440" w:lineRule="exact"/>
              <w:jc w:val="left"/>
              <w:rPr>
                <w:rFonts w:ascii="仿宋_GB2312" w:hAnsi="Calibri" w:eastAsia="仿宋_GB2312"/>
                <w:sz w:val="32"/>
                <w:szCs w:val="32"/>
              </w:rPr>
            </w:pPr>
            <w:r>
              <w:rPr>
                <w:rFonts w:hint="eastAsia" w:ascii="仿宋_GB2312" w:hAnsi="Calibri" w:eastAsia="仿宋_GB2312"/>
                <w:sz w:val="32"/>
                <w:szCs w:val="32"/>
              </w:rPr>
              <w:t>最终比选报价</w:t>
            </w:r>
          </w:p>
        </w:tc>
        <w:tc>
          <w:tcPr>
            <w:tcW w:w="6739" w:type="dxa"/>
            <w:tcBorders>
              <w:top w:val="nil"/>
            </w:tcBorders>
            <w:vAlign w:val="center"/>
          </w:tcPr>
          <w:p>
            <w:pPr>
              <w:widowControl/>
              <w:spacing w:line="440" w:lineRule="exact"/>
              <w:jc w:val="left"/>
              <w:rPr>
                <w:rFonts w:ascii="仿宋_GB2312" w:hAnsi="Calibri" w:eastAsia="仿宋_GB2312"/>
                <w:sz w:val="32"/>
                <w:szCs w:val="32"/>
              </w:rPr>
            </w:pPr>
          </w:p>
          <w:p>
            <w:pPr>
              <w:widowControl/>
              <w:spacing w:line="440" w:lineRule="exact"/>
              <w:jc w:val="left"/>
              <w:rPr>
                <w:rFonts w:ascii="仿宋_GB2312" w:hAnsi="Calibri" w:eastAsia="仿宋_GB2312"/>
                <w:sz w:val="32"/>
                <w:szCs w:val="32"/>
              </w:rPr>
            </w:pPr>
            <w:r>
              <w:rPr>
                <w:rFonts w:hint="eastAsia" w:ascii="仿宋_GB2312" w:hAnsi="Calibri" w:eastAsia="仿宋_GB2312"/>
                <w:sz w:val="32"/>
                <w:szCs w:val="32"/>
              </w:rPr>
              <w:t>小写：</w:t>
            </w:r>
            <w:r>
              <w:rPr>
                <w:rFonts w:ascii="仿宋_GB2312" w:hAnsi="Calibri" w:eastAsia="仿宋_GB2312"/>
                <w:sz w:val="32"/>
                <w:szCs w:val="32"/>
              </w:rPr>
              <w:t>元</w:t>
            </w:r>
            <w:r>
              <w:rPr>
                <w:rFonts w:hint="eastAsia" w:ascii="仿宋_GB2312" w:hAnsi="Calibri" w:eastAsia="仿宋_GB2312"/>
                <w:sz w:val="32"/>
                <w:szCs w:val="32"/>
              </w:rPr>
              <w:t>/</w:t>
            </w:r>
            <w:r>
              <w:rPr>
                <w:rFonts w:ascii="仿宋_GB2312" w:hAnsi="Calibri" w:eastAsia="仿宋_GB2312"/>
                <w:sz w:val="32"/>
                <w:szCs w:val="32"/>
              </w:rPr>
              <w:t>年</w:t>
            </w:r>
          </w:p>
          <w:p>
            <w:pPr>
              <w:widowControl/>
              <w:spacing w:line="440" w:lineRule="exact"/>
              <w:jc w:val="left"/>
              <w:rPr>
                <w:rFonts w:ascii="仿宋_GB2312" w:hAnsi="Calibri" w:eastAsia="仿宋_GB2312"/>
                <w:sz w:val="32"/>
                <w:szCs w:val="32"/>
              </w:rPr>
            </w:pPr>
            <w:r>
              <w:rPr>
                <w:rFonts w:ascii="仿宋_GB2312" w:hAnsi="Calibri" w:eastAsia="仿宋_GB2312"/>
                <w:sz w:val="32"/>
                <w:szCs w:val="32"/>
              </w:rPr>
              <w:t>大写：元</w:t>
            </w:r>
            <w:r>
              <w:rPr>
                <w:rFonts w:hint="eastAsia" w:ascii="仿宋_GB2312" w:hAnsi="Calibri" w:eastAsia="仿宋_GB2312"/>
                <w:sz w:val="32"/>
                <w:szCs w:val="32"/>
              </w:rPr>
              <w:t>/</w:t>
            </w:r>
            <w:r>
              <w:rPr>
                <w:rFonts w:ascii="仿宋_GB2312" w:hAnsi="Calibri" w:eastAsia="仿宋_GB2312"/>
                <w:sz w:val="32"/>
                <w:szCs w:val="32"/>
              </w:rPr>
              <w:t>年</w:t>
            </w:r>
          </w:p>
          <w:p>
            <w:pPr>
              <w:widowControl/>
              <w:spacing w:line="440" w:lineRule="exact"/>
              <w:jc w:val="left"/>
              <w:rPr>
                <w:rFonts w:ascii="仿宋_GB2312" w:hAnsi="Calibri"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8" w:hRule="atLeast"/>
          <w:jc w:val="center"/>
        </w:trPr>
        <w:tc>
          <w:tcPr>
            <w:tcW w:w="2498" w:type="dxa"/>
            <w:tcBorders>
              <w:top w:val="nil"/>
            </w:tcBorders>
            <w:vAlign w:val="center"/>
          </w:tcPr>
          <w:p>
            <w:pPr>
              <w:widowControl/>
              <w:spacing w:line="440" w:lineRule="exact"/>
              <w:jc w:val="left"/>
              <w:rPr>
                <w:rFonts w:ascii="仿宋_GB2312" w:hAnsi="Calibri" w:eastAsia="仿宋_GB2312"/>
                <w:sz w:val="32"/>
                <w:szCs w:val="32"/>
              </w:rPr>
            </w:pPr>
            <w:r>
              <w:rPr>
                <w:rFonts w:hint="eastAsia" w:ascii="仿宋_GB2312" w:hAnsi="Calibri" w:eastAsia="仿宋_GB2312"/>
                <w:sz w:val="32"/>
                <w:szCs w:val="32"/>
              </w:rPr>
              <w:t>合同签订年限</w:t>
            </w:r>
          </w:p>
        </w:tc>
        <w:tc>
          <w:tcPr>
            <w:tcW w:w="6739" w:type="dxa"/>
            <w:tcBorders>
              <w:top w:val="nil"/>
            </w:tcBorders>
            <w:vAlign w:val="center"/>
          </w:tcPr>
          <w:p>
            <w:pPr>
              <w:widowControl/>
              <w:spacing w:line="440" w:lineRule="exact"/>
              <w:ind w:firstLine="960" w:firstLineChars="300"/>
              <w:jc w:val="left"/>
              <w:rPr>
                <w:rFonts w:ascii="仿宋_GB2312" w:hAnsi="Calibri" w:eastAsia="仿宋_GB2312"/>
                <w:sz w:val="32"/>
                <w:szCs w:val="32"/>
              </w:rPr>
            </w:pPr>
            <w:r>
              <w:rPr>
                <w:rFonts w:hint="eastAsia" w:ascii="仿宋_GB2312" w:hAnsi="Calibri" w:eastAsia="仿宋_GB2312"/>
                <w:sz w:val="32"/>
                <w:szCs w:val="32"/>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jc w:val="center"/>
        </w:trPr>
        <w:tc>
          <w:tcPr>
            <w:tcW w:w="2498" w:type="dxa"/>
            <w:vAlign w:val="center"/>
          </w:tcPr>
          <w:p>
            <w:pPr>
              <w:widowControl/>
              <w:spacing w:line="440" w:lineRule="exact"/>
              <w:jc w:val="left"/>
              <w:rPr>
                <w:rFonts w:ascii="仿宋_GB2312" w:hAnsi="Calibri" w:eastAsia="仿宋_GB2312"/>
                <w:sz w:val="32"/>
                <w:szCs w:val="32"/>
              </w:rPr>
            </w:pPr>
            <w:r>
              <w:rPr>
                <w:rFonts w:hint="eastAsia" w:ascii="仿宋_GB2312" w:hAnsi="Calibri" w:eastAsia="仿宋_GB2312"/>
                <w:sz w:val="32"/>
                <w:szCs w:val="32"/>
              </w:rPr>
              <w:t>付款方式是否响应比选文件要求</w:t>
            </w:r>
          </w:p>
        </w:tc>
        <w:tc>
          <w:tcPr>
            <w:tcW w:w="6739" w:type="dxa"/>
            <w:vAlign w:val="center"/>
          </w:tcPr>
          <w:p>
            <w:pPr>
              <w:widowControl/>
              <w:spacing w:line="440" w:lineRule="exact"/>
              <w:jc w:val="left"/>
              <w:rPr>
                <w:rFonts w:ascii="仿宋_GB2312" w:hAnsi="Calibri" w:eastAsia="仿宋_GB2312"/>
                <w:sz w:val="32"/>
                <w:szCs w:val="32"/>
              </w:rPr>
            </w:pPr>
            <w:r>
              <w:rPr>
                <w:rFonts w:hint="eastAsia" w:ascii="仿宋_GB2312" w:hAnsi="Calibri" w:eastAsia="仿宋_GB2312"/>
                <w:sz w:val="32"/>
                <w:szCs w:val="32"/>
              </w:rPr>
              <w:t>请填写“响应”或者“不响应”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6" w:hRule="atLeast"/>
          <w:jc w:val="center"/>
        </w:trPr>
        <w:tc>
          <w:tcPr>
            <w:tcW w:w="2498" w:type="dxa"/>
            <w:vAlign w:val="center"/>
          </w:tcPr>
          <w:p>
            <w:pPr>
              <w:widowControl/>
              <w:spacing w:line="440" w:lineRule="exact"/>
              <w:jc w:val="left"/>
              <w:rPr>
                <w:rFonts w:ascii="仿宋_GB2312" w:hAnsi="Calibri" w:eastAsia="仿宋_GB2312"/>
                <w:sz w:val="32"/>
                <w:szCs w:val="32"/>
              </w:rPr>
            </w:pPr>
            <w:r>
              <w:rPr>
                <w:rFonts w:hint="eastAsia" w:ascii="仿宋_GB2312" w:hAnsi="Calibri" w:eastAsia="仿宋_GB2312"/>
                <w:sz w:val="32"/>
                <w:szCs w:val="32"/>
              </w:rPr>
              <w:t>备注</w:t>
            </w:r>
          </w:p>
        </w:tc>
        <w:tc>
          <w:tcPr>
            <w:tcW w:w="6739" w:type="dxa"/>
            <w:vAlign w:val="center"/>
          </w:tcPr>
          <w:p>
            <w:pPr>
              <w:spacing w:line="480" w:lineRule="exact"/>
              <w:rPr>
                <w:rFonts w:ascii="仿宋_GB2312" w:hAnsi="宋体" w:eastAsia="仿宋_GB2312"/>
                <w:sz w:val="28"/>
                <w:szCs w:val="28"/>
              </w:rPr>
            </w:pPr>
          </w:p>
        </w:tc>
      </w:tr>
    </w:tbl>
    <w:p>
      <w:pPr>
        <w:widowControl/>
        <w:spacing w:line="440" w:lineRule="exact"/>
        <w:jc w:val="left"/>
        <w:rPr>
          <w:rFonts w:ascii="仿宋_GB2312" w:hAnsi="宋体" w:eastAsia="仿宋_GB2312"/>
          <w:sz w:val="28"/>
          <w:szCs w:val="28"/>
        </w:rPr>
      </w:pPr>
      <w:r>
        <w:rPr>
          <w:rFonts w:hint="eastAsia" w:ascii="仿宋_GB2312" w:hAnsi="Calibri" w:eastAsia="仿宋_GB2312"/>
          <w:sz w:val="32"/>
          <w:szCs w:val="32"/>
        </w:rPr>
        <w:t xml:space="preserve">比选申请人公章： </w:t>
      </w:r>
    </w:p>
    <w:p>
      <w:pPr>
        <w:spacing w:line="480" w:lineRule="exact"/>
        <w:rPr>
          <w:rFonts w:ascii="仿宋_GB2312" w:hAnsi="宋体" w:eastAsia="仿宋_GB2312"/>
          <w:sz w:val="28"/>
          <w:szCs w:val="28"/>
        </w:rPr>
      </w:pPr>
    </w:p>
    <w:p>
      <w:pPr>
        <w:widowControl/>
        <w:spacing w:line="440" w:lineRule="exact"/>
        <w:jc w:val="left"/>
        <w:rPr>
          <w:rFonts w:ascii="仿宋_GB2312" w:hAnsi="Calibri" w:eastAsia="仿宋_GB2312"/>
          <w:sz w:val="32"/>
          <w:szCs w:val="32"/>
        </w:rPr>
      </w:pPr>
      <w:r>
        <w:rPr>
          <w:rFonts w:hint="eastAsia" w:ascii="仿宋_GB2312" w:hAnsi="Calibri" w:eastAsia="仿宋_GB2312"/>
          <w:sz w:val="32"/>
          <w:szCs w:val="32"/>
        </w:rPr>
        <w:t>备注：表中比选报价为最终报价，并作为评审及定标依据。任何有选择或有条件的最终比选报均为无效报价。</w:t>
      </w:r>
    </w:p>
    <w:p>
      <w:pPr>
        <w:spacing w:line="480" w:lineRule="exact"/>
        <w:jc w:val="center"/>
        <w:rPr>
          <w:rFonts w:ascii="黑体" w:hAnsi="黑体" w:eastAsia="黑体"/>
          <w:b/>
          <w:sz w:val="28"/>
          <w:szCs w:val="28"/>
        </w:rPr>
      </w:pPr>
      <w:bookmarkStart w:id="7" w:name="_Hlt533408409"/>
      <w:bookmarkEnd w:id="7"/>
      <w:bookmarkStart w:id="8" w:name="_Hlt509716873"/>
      <w:bookmarkEnd w:id="8"/>
      <w:bookmarkStart w:id="9" w:name="_Hlt519045798"/>
      <w:bookmarkEnd w:id="9"/>
      <w:bookmarkStart w:id="10" w:name="_Hlt533408916"/>
      <w:bookmarkEnd w:id="10"/>
      <w:bookmarkStart w:id="11" w:name="_Hlt509739007"/>
      <w:bookmarkEnd w:id="11"/>
      <w:bookmarkStart w:id="12" w:name="_Hlt533409360"/>
      <w:bookmarkEnd w:id="12"/>
      <w:bookmarkStart w:id="13" w:name="_Toc248635540"/>
      <w:bookmarkStart w:id="14" w:name="_Toc516969098"/>
      <w:bookmarkStart w:id="15" w:name="_Toc197934563"/>
      <w:r>
        <w:rPr>
          <w:rFonts w:ascii="黑体" w:hAnsi="黑体" w:eastAsia="黑体"/>
          <w:b/>
          <w:sz w:val="28"/>
          <w:szCs w:val="28"/>
        </w:rPr>
        <w:br w:type="page"/>
      </w:r>
      <w:r>
        <w:rPr>
          <w:rFonts w:hint="eastAsia" w:ascii="黑体" w:hAnsi="黑体" w:eastAsia="黑体"/>
          <w:b/>
          <w:sz w:val="28"/>
          <w:szCs w:val="28"/>
        </w:rPr>
        <w:t>二、比选申请函</w:t>
      </w:r>
      <w:bookmarkEnd w:id="13"/>
      <w:bookmarkEnd w:id="14"/>
    </w:p>
    <w:p>
      <w:pPr>
        <w:widowControl/>
        <w:spacing w:line="440" w:lineRule="exact"/>
        <w:jc w:val="left"/>
        <w:rPr>
          <w:rFonts w:ascii="仿宋_GB2312" w:hAnsi="Calibri" w:eastAsia="仿宋_GB2312"/>
          <w:sz w:val="32"/>
          <w:szCs w:val="32"/>
        </w:rPr>
      </w:pPr>
      <w:r>
        <w:rPr>
          <w:rFonts w:hint="eastAsia" w:ascii="仿宋_GB2312" w:hAnsi="Calibri" w:eastAsia="仿宋_GB2312"/>
          <w:sz w:val="32"/>
          <w:szCs w:val="32"/>
        </w:rPr>
        <w:t>致：成都市大茂丰粮油贸易有限公司</w:t>
      </w:r>
    </w:p>
    <w:p>
      <w:pPr>
        <w:spacing w:line="480" w:lineRule="exact"/>
        <w:ind w:firstLine="640" w:firstLineChars="200"/>
        <w:rPr>
          <w:rFonts w:ascii="仿宋_GB2312" w:hAnsi="宋体" w:eastAsia="仿宋_GB2312"/>
          <w:sz w:val="32"/>
          <w:szCs w:val="32"/>
          <w:u w:val="single"/>
        </w:rPr>
      </w:pPr>
      <w:r>
        <w:rPr>
          <w:rFonts w:hint="eastAsia" w:ascii="仿宋_GB2312" w:hAnsi="宋体" w:eastAsia="仿宋_GB2312"/>
          <w:sz w:val="32"/>
          <w:szCs w:val="32"/>
        </w:rPr>
        <w:t>根据贵方立筒仓及配套设施设备对外提供仓储服务项目比选文件要求，正式授权下述签字人（姓名）代表比选申请人</w:t>
      </w:r>
    </w:p>
    <w:p>
      <w:pPr>
        <w:spacing w:line="480" w:lineRule="exact"/>
        <w:rPr>
          <w:rFonts w:ascii="仿宋_GB2312" w:hAnsi="宋体" w:eastAsia="仿宋_GB2312"/>
          <w:sz w:val="32"/>
          <w:szCs w:val="32"/>
          <w:u w:val="single"/>
        </w:rPr>
      </w:pPr>
      <w:r>
        <w:rPr>
          <w:rFonts w:hint="eastAsia" w:ascii="仿宋_GB2312" w:hAnsi="宋体" w:eastAsia="仿宋_GB2312"/>
          <w:sz w:val="32"/>
          <w:szCs w:val="32"/>
        </w:rPr>
        <w:t>（比选申请人全称），提交比选申请文件 份。</w:t>
      </w:r>
    </w:p>
    <w:p>
      <w:pPr>
        <w:spacing w:line="480" w:lineRule="exact"/>
        <w:ind w:firstLine="640" w:firstLineChars="200"/>
        <w:rPr>
          <w:rFonts w:ascii="仿宋_GB2312" w:hAnsi="宋体" w:eastAsia="仿宋_GB2312"/>
          <w:sz w:val="32"/>
          <w:szCs w:val="32"/>
        </w:rPr>
      </w:pPr>
      <w:r>
        <w:rPr>
          <w:rFonts w:hint="eastAsia" w:ascii="仿宋_GB2312" w:hAnsi="宋体" w:eastAsia="仿宋_GB2312"/>
          <w:sz w:val="32"/>
          <w:szCs w:val="32"/>
        </w:rPr>
        <w:t>据此函，比选申请人兹宣布同意如下：</w:t>
      </w:r>
    </w:p>
    <w:p>
      <w:pPr>
        <w:spacing w:line="480" w:lineRule="exact"/>
        <w:rPr>
          <w:rFonts w:ascii="仿宋_GB2312" w:hAnsi="宋体" w:eastAsia="仿宋_GB2312"/>
          <w:sz w:val="32"/>
          <w:szCs w:val="32"/>
        </w:rPr>
      </w:pPr>
      <w:r>
        <w:rPr>
          <w:rFonts w:hint="eastAsia" w:ascii="仿宋_GB2312" w:hAnsi="宋体" w:eastAsia="仿宋_GB2312"/>
          <w:sz w:val="32"/>
          <w:szCs w:val="32"/>
        </w:rPr>
        <w:t>（1）按比选文件规定提供总报价（详见比选申请一览表）。</w:t>
      </w:r>
    </w:p>
    <w:p>
      <w:pPr>
        <w:spacing w:line="480" w:lineRule="exact"/>
        <w:rPr>
          <w:rFonts w:ascii="仿宋_GB2312" w:hAnsi="宋体" w:eastAsia="仿宋_GB2312"/>
          <w:sz w:val="32"/>
          <w:szCs w:val="32"/>
        </w:rPr>
      </w:pPr>
      <w:r>
        <w:rPr>
          <w:rFonts w:hint="eastAsia" w:ascii="仿宋_GB2312" w:hAnsi="宋体" w:eastAsia="仿宋_GB2312"/>
          <w:sz w:val="32"/>
          <w:szCs w:val="32"/>
        </w:rPr>
        <w:t>（2）我方根据比选文件的规定，严格履行合同的责任和义务。</w:t>
      </w:r>
    </w:p>
    <w:p>
      <w:pPr>
        <w:spacing w:line="480" w:lineRule="exact"/>
        <w:rPr>
          <w:rFonts w:ascii="仿宋_GB2312" w:hAnsi="宋体" w:eastAsia="仿宋_GB2312"/>
          <w:sz w:val="32"/>
          <w:szCs w:val="32"/>
        </w:rPr>
      </w:pPr>
      <w:r>
        <w:rPr>
          <w:rFonts w:hint="eastAsia" w:ascii="仿宋_GB2312" w:hAnsi="宋体" w:eastAsia="仿宋_GB2312"/>
          <w:sz w:val="32"/>
          <w:szCs w:val="32"/>
        </w:rPr>
        <w:t>（3）我方已详细阅读全部比选文件及比选文件中拟定合同文本，包括比选文件修改书（如有），参考资料及有关附件（如有），我方正式认可本次比选文件，并对比选文件各项条款均无异议。</w:t>
      </w:r>
    </w:p>
    <w:p>
      <w:pPr>
        <w:spacing w:line="480" w:lineRule="exact"/>
        <w:rPr>
          <w:rFonts w:ascii="仿宋_GB2312" w:hAnsi="宋体" w:eastAsia="仿宋_GB2312"/>
          <w:sz w:val="32"/>
          <w:szCs w:val="32"/>
        </w:rPr>
      </w:pPr>
      <w:r>
        <w:rPr>
          <w:rFonts w:hint="eastAsia" w:ascii="仿宋_GB2312" w:hAnsi="宋体" w:eastAsia="仿宋_GB2312"/>
          <w:sz w:val="32"/>
          <w:szCs w:val="32"/>
        </w:rPr>
        <w:t>（4）我方同意从比选文件规定的比选评审日期起遵循本比选申请文件，并在比选文件规定的比选申请有效期之前均具有约束力。</w:t>
      </w:r>
    </w:p>
    <w:p>
      <w:pPr>
        <w:spacing w:line="480" w:lineRule="exact"/>
        <w:rPr>
          <w:rFonts w:ascii="仿宋_GB2312" w:hAnsi="宋体" w:eastAsia="仿宋_GB2312"/>
          <w:sz w:val="32"/>
          <w:szCs w:val="32"/>
        </w:rPr>
      </w:pPr>
      <w:r>
        <w:rPr>
          <w:rFonts w:hint="eastAsia" w:ascii="仿宋_GB2312" w:hAnsi="宋体" w:eastAsia="仿宋_GB2312"/>
          <w:sz w:val="32"/>
          <w:szCs w:val="32"/>
        </w:rPr>
        <w:t>（5）我方承诺在比选评审后规定的比选申请有效期内不会撤回比选申请。</w:t>
      </w:r>
    </w:p>
    <w:p>
      <w:pPr>
        <w:spacing w:line="480" w:lineRule="exact"/>
        <w:rPr>
          <w:rFonts w:ascii="仿宋_GB2312" w:hAnsi="宋体" w:eastAsia="仿宋_GB2312"/>
          <w:sz w:val="32"/>
          <w:szCs w:val="32"/>
        </w:rPr>
      </w:pPr>
      <w:r>
        <w:rPr>
          <w:rFonts w:hint="eastAsia" w:ascii="仿宋_GB2312" w:hAnsi="宋体" w:eastAsia="仿宋_GB2312"/>
          <w:sz w:val="32"/>
          <w:szCs w:val="32"/>
        </w:rPr>
        <w:t>（6）我方声明比选申请文件所提供的一切资料均真实、及时、有效。由于我方提供资料不实而造成的责任和后果由我方承担。我方同意按照贵方提出的要求，提供与比选申请有关的任何证据、数据或资料（如需）。</w:t>
      </w:r>
    </w:p>
    <w:p>
      <w:pPr>
        <w:spacing w:line="480" w:lineRule="exact"/>
        <w:rPr>
          <w:rFonts w:ascii="仿宋_GB2312" w:hAnsi="宋体" w:eastAsia="仿宋_GB2312"/>
          <w:sz w:val="32"/>
          <w:szCs w:val="32"/>
        </w:rPr>
      </w:pPr>
      <w:r>
        <w:rPr>
          <w:rFonts w:hint="eastAsia" w:ascii="仿宋_GB2312" w:hAnsi="宋体" w:eastAsia="仿宋_GB2312"/>
          <w:sz w:val="32"/>
          <w:szCs w:val="32"/>
        </w:rPr>
        <w:t xml:space="preserve">与本比选申请有关的通讯地址：                                  </w:t>
      </w:r>
    </w:p>
    <w:p>
      <w:pPr>
        <w:spacing w:line="480" w:lineRule="exact"/>
        <w:rPr>
          <w:rFonts w:ascii="仿宋_GB2312" w:hAnsi="宋体" w:eastAsia="仿宋_GB2312"/>
          <w:sz w:val="32"/>
          <w:szCs w:val="32"/>
        </w:rPr>
      </w:pPr>
      <w:r>
        <w:rPr>
          <w:rFonts w:hint="eastAsia" w:ascii="仿宋_GB2312" w:hAnsi="宋体" w:eastAsia="仿宋_GB2312"/>
          <w:sz w:val="32"/>
          <w:szCs w:val="32"/>
        </w:rPr>
        <w:t xml:space="preserve">电    话：                       传    真：                 </w:t>
      </w:r>
    </w:p>
    <w:p>
      <w:pPr>
        <w:spacing w:line="480" w:lineRule="exact"/>
        <w:rPr>
          <w:rFonts w:ascii="仿宋_GB2312" w:hAnsi="宋体" w:eastAsia="仿宋_GB2312"/>
          <w:sz w:val="32"/>
          <w:szCs w:val="32"/>
        </w:rPr>
      </w:pPr>
      <w:r>
        <w:rPr>
          <w:rFonts w:hint="eastAsia" w:ascii="仿宋_GB2312" w:hAnsi="宋体" w:eastAsia="仿宋_GB2312"/>
          <w:sz w:val="32"/>
          <w:szCs w:val="32"/>
        </w:rPr>
        <w:t xml:space="preserve">比选申请人（公章）：                    </w:t>
      </w:r>
    </w:p>
    <w:p>
      <w:pPr>
        <w:spacing w:line="480" w:lineRule="exact"/>
        <w:rPr>
          <w:rFonts w:ascii="DFKai-SB" w:hAnsi="DFKai-SB" w:eastAsia="DFKai-SB"/>
          <w:sz w:val="32"/>
          <w:szCs w:val="32"/>
        </w:rPr>
      </w:pPr>
      <w:r>
        <w:rPr>
          <w:rFonts w:hint="eastAsia" w:ascii="仿宋_GB2312" w:hAnsi="宋体" w:eastAsia="仿宋_GB2312"/>
          <w:sz w:val="32"/>
          <w:szCs w:val="32"/>
        </w:rPr>
        <w:t xml:space="preserve">日    期： </w:t>
      </w:r>
    </w:p>
    <w:p>
      <w:pPr>
        <w:spacing w:line="480" w:lineRule="exact"/>
        <w:jc w:val="center"/>
        <w:rPr>
          <w:rFonts w:ascii="黑体" w:hAnsi="黑体" w:eastAsia="黑体"/>
          <w:b/>
          <w:sz w:val="28"/>
          <w:szCs w:val="28"/>
        </w:rPr>
      </w:pPr>
      <w:r>
        <w:rPr>
          <w:rFonts w:ascii="黑体" w:hAnsi="黑体" w:eastAsia="黑体"/>
          <w:b/>
          <w:sz w:val="32"/>
          <w:szCs w:val="32"/>
        </w:rPr>
        <w:br w:type="page"/>
      </w:r>
      <w:r>
        <w:rPr>
          <w:rFonts w:hint="eastAsia" w:ascii="黑体" w:hAnsi="黑体" w:eastAsia="黑体"/>
          <w:b/>
          <w:sz w:val="28"/>
          <w:szCs w:val="28"/>
        </w:rPr>
        <w:t>三、比选申请人营业执照</w:t>
      </w:r>
    </w:p>
    <w:p>
      <w:pPr>
        <w:spacing w:line="480" w:lineRule="exact"/>
        <w:jc w:val="center"/>
        <w:rPr>
          <w:rFonts w:ascii="仿宋_GB2312" w:hAnsi="DFKai-SB" w:eastAsia="仿宋_GB2312"/>
          <w:sz w:val="24"/>
          <w:szCs w:val="24"/>
        </w:rPr>
      </w:pPr>
      <w:r>
        <w:rPr>
          <w:rFonts w:hint="eastAsia" w:ascii="仿宋_GB2312" w:hAnsi="DFKai-SB" w:eastAsia="仿宋_GB2312"/>
          <w:sz w:val="24"/>
          <w:szCs w:val="24"/>
        </w:rPr>
        <w:t>（需加盖公章）</w:t>
      </w:r>
    </w:p>
    <w:p>
      <w:pPr>
        <w:widowControl/>
        <w:jc w:val="left"/>
        <w:rPr>
          <w:rFonts w:ascii="黑体" w:hAnsi="黑体" w:eastAsia="黑体"/>
          <w:b/>
          <w:sz w:val="28"/>
          <w:szCs w:val="28"/>
        </w:rPr>
      </w:pPr>
      <w:r>
        <w:rPr>
          <w:rFonts w:ascii="黑体" w:hAnsi="黑体" w:eastAsia="黑体"/>
          <w:b/>
          <w:sz w:val="28"/>
          <w:szCs w:val="28"/>
        </w:rPr>
        <w:br w:type="page"/>
      </w:r>
    </w:p>
    <w:p>
      <w:pPr>
        <w:spacing w:line="480" w:lineRule="exact"/>
        <w:jc w:val="center"/>
        <w:rPr>
          <w:rFonts w:ascii="黑体" w:hAnsi="黑体" w:eastAsia="黑体"/>
          <w:b/>
          <w:sz w:val="28"/>
          <w:szCs w:val="28"/>
        </w:rPr>
      </w:pPr>
      <w:r>
        <w:rPr>
          <w:rFonts w:hint="eastAsia" w:ascii="黑体" w:hAnsi="黑体" w:eastAsia="黑体"/>
          <w:b/>
          <w:sz w:val="28"/>
          <w:szCs w:val="28"/>
        </w:rPr>
        <w:t>四、比选申请人法人身份证</w:t>
      </w:r>
    </w:p>
    <w:p>
      <w:pPr>
        <w:spacing w:line="480" w:lineRule="exact"/>
        <w:jc w:val="center"/>
        <w:rPr>
          <w:rFonts w:ascii="仿宋_GB2312" w:hAnsi="DFKai-SB" w:eastAsia="仿宋_GB2312"/>
          <w:sz w:val="24"/>
          <w:szCs w:val="24"/>
        </w:rPr>
      </w:pPr>
      <w:r>
        <w:rPr>
          <w:rFonts w:hint="eastAsia" w:ascii="仿宋_GB2312" w:hAnsi="DFKai-SB" w:eastAsia="仿宋_GB2312"/>
          <w:sz w:val="24"/>
          <w:szCs w:val="24"/>
        </w:rPr>
        <w:t>（需加盖公章）</w:t>
      </w:r>
    </w:p>
    <w:p>
      <w:pPr>
        <w:widowControl/>
        <w:jc w:val="left"/>
        <w:rPr>
          <w:rFonts w:ascii="黑体" w:hAnsi="黑体" w:eastAsia="黑体"/>
          <w:b/>
          <w:sz w:val="28"/>
          <w:szCs w:val="28"/>
        </w:rPr>
      </w:pPr>
      <w:r>
        <w:rPr>
          <w:rFonts w:ascii="黑体" w:hAnsi="黑体" w:eastAsia="黑体"/>
          <w:b/>
          <w:sz w:val="28"/>
          <w:szCs w:val="28"/>
        </w:rPr>
        <w:br w:type="page"/>
      </w:r>
    </w:p>
    <w:p>
      <w:pPr>
        <w:widowControl/>
        <w:jc w:val="center"/>
        <w:rPr>
          <w:rFonts w:ascii="黑体" w:hAnsi="黑体" w:eastAsia="黑体"/>
          <w:b/>
          <w:sz w:val="28"/>
          <w:szCs w:val="28"/>
        </w:rPr>
      </w:pPr>
      <w:r>
        <w:rPr>
          <w:rFonts w:hint="eastAsia" w:ascii="黑体" w:hAnsi="黑体" w:eastAsia="黑体"/>
          <w:b/>
          <w:sz w:val="28"/>
          <w:szCs w:val="28"/>
        </w:rPr>
        <w:t>五、</w:t>
      </w:r>
      <w:r>
        <w:rPr>
          <w:rFonts w:ascii="黑体" w:hAnsi="黑体" w:eastAsia="黑体"/>
          <w:b/>
          <w:sz w:val="28"/>
          <w:szCs w:val="28"/>
        </w:rPr>
        <w:t>法人授权书及被授权人身份证复印件</w:t>
      </w:r>
    </w:p>
    <w:p>
      <w:pPr>
        <w:widowControl/>
        <w:jc w:val="left"/>
        <w:rPr>
          <w:rFonts w:ascii="仿宋_GB2312" w:hAnsi="宋体" w:eastAsia="仿宋_GB2312"/>
          <w:sz w:val="32"/>
          <w:szCs w:val="32"/>
        </w:rPr>
      </w:pPr>
      <w:r>
        <w:rPr>
          <w:rFonts w:hint="eastAsia" w:ascii="仿宋_GB2312" w:hAnsi="宋体" w:eastAsia="仿宋_GB2312"/>
          <w:sz w:val="32"/>
          <w:szCs w:val="32"/>
        </w:rPr>
        <w:t>（需加盖公章或法人章；</w:t>
      </w:r>
      <w:r>
        <w:rPr>
          <w:rFonts w:ascii="仿宋_GB2312" w:hAnsi="宋体" w:eastAsia="仿宋_GB2312"/>
          <w:sz w:val="32"/>
          <w:szCs w:val="32"/>
        </w:rPr>
        <w:t>法人直接</w:t>
      </w:r>
      <w:r>
        <w:rPr>
          <w:rFonts w:hint="eastAsia" w:ascii="仿宋_GB2312" w:hAnsi="宋体" w:eastAsia="仿宋_GB2312"/>
          <w:sz w:val="32"/>
          <w:szCs w:val="32"/>
        </w:rPr>
        <w:t>申请比选的</w:t>
      </w:r>
      <w:r>
        <w:rPr>
          <w:rFonts w:ascii="仿宋_GB2312" w:hAnsi="宋体" w:eastAsia="仿宋_GB2312"/>
          <w:sz w:val="32"/>
          <w:szCs w:val="32"/>
        </w:rPr>
        <w:t>只需出具</w:t>
      </w:r>
      <w:r>
        <w:rPr>
          <w:rFonts w:hint="eastAsia" w:ascii="仿宋_GB2312" w:hAnsi="宋体" w:eastAsia="仿宋_GB2312"/>
          <w:sz w:val="32"/>
          <w:szCs w:val="32"/>
        </w:rPr>
        <w:t>法人</w:t>
      </w:r>
      <w:r>
        <w:rPr>
          <w:rFonts w:ascii="仿宋_GB2312" w:hAnsi="宋体" w:eastAsia="仿宋_GB2312"/>
          <w:sz w:val="32"/>
          <w:szCs w:val="32"/>
        </w:rPr>
        <w:t>身份证复印件</w:t>
      </w:r>
      <w:r>
        <w:rPr>
          <w:rFonts w:hint="eastAsia" w:ascii="仿宋_GB2312" w:hAnsi="宋体" w:eastAsia="仿宋_GB2312"/>
          <w:sz w:val="32"/>
          <w:szCs w:val="32"/>
        </w:rPr>
        <w:t>）</w:t>
      </w:r>
    </w:p>
    <w:p>
      <w:pPr>
        <w:spacing w:line="480" w:lineRule="exact"/>
        <w:rPr>
          <w:rFonts w:ascii="DFKai-SB" w:hAnsi="DFKai-SB" w:eastAsia="DFKai-SB"/>
          <w:b/>
          <w:sz w:val="32"/>
          <w:szCs w:val="32"/>
        </w:rPr>
      </w:pPr>
    </w:p>
    <w:p>
      <w:pPr>
        <w:spacing w:line="480" w:lineRule="exact"/>
        <w:ind w:firstLine="640" w:firstLineChars="200"/>
        <w:rPr>
          <w:rFonts w:ascii="仿宋_GB2312" w:hAnsi="宋体" w:eastAsia="仿宋_GB2312"/>
          <w:sz w:val="32"/>
          <w:szCs w:val="32"/>
        </w:rPr>
      </w:pPr>
      <w:r>
        <w:rPr>
          <w:rFonts w:hint="eastAsia" w:ascii="仿宋_GB2312" w:hAnsi="宋体" w:eastAsia="仿宋_GB2312"/>
          <w:sz w:val="32"/>
          <w:szCs w:val="32"/>
        </w:rPr>
        <w:t>本授权书声明：（比选申请人）授权本公司（被授权人姓名）代表本公司参加</w:t>
      </w:r>
      <w:r>
        <w:rPr>
          <w:rFonts w:hint="eastAsia" w:ascii="仿宋_GB2312" w:hAnsi="宋体" w:eastAsia="仿宋_GB2312"/>
          <w:sz w:val="32"/>
          <w:szCs w:val="32"/>
          <w:u w:val="single"/>
        </w:rPr>
        <w:t>成都市大茂丰粮油贸易有限公司立筒仓及配套设施设备对外提供仓储服务项目</w:t>
      </w:r>
      <w:r>
        <w:rPr>
          <w:rFonts w:hint="eastAsia" w:ascii="仿宋_GB2312" w:hAnsi="宋体" w:eastAsia="仿宋_GB2312"/>
          <w:sz w:val="32"/>
          <w:szCs w:val="32"/>
        </w:rPr>
        <w:t>的比选</w:t>
      </w:r>
      <w:r>
        <w:rPr>
          <w:rFonts w:hint="eastAsia" w:ascii="仿宋_GB2312" w:hAnsi="宋体" w:eastAsia="仿宋_GB2312"/>
          <w:bCs/>
          <w:sz w:val="32"/>
          <w:szCs w:val="32"/>
        </w:rPr>
        <w:t>活动</w:t>
      </w:r>
      <w:r>
        <w:rPr>
          <w:rFonts w:hint="eastAsia" w:ascii="仿宋_GB2312" w:hAnsi="宋体" w:eastAsia="仿宋_GB2312"/>
          <w:sz w:val="32"/>
          <w:szCs w:val="32"/>
        </w:rPr>
        <w:t>，全权代表本公司处理比选申请过程的一切事宜，包括但不限于：比选申请、谈判、合同签订等。被授权人在比选申请过程中所签署的一切文件和处理与之有关的一切事务，本公司均予以认可并对此承担责任。被授权人无转委托权。特此授权。</w:t>
      </w:r>
    </w:p>
    <w:p>
      <w:pPr>
        <w:snapToGrid w:val="0"/>
        <w:spacing w:line="480" w:lineRule="exact"/>
        <w:jc w:val="left"/>
        <w:rPr>
          <w:rFonts w:ascii="仿宋_GB2312" w:hAnsi="宋体" w:eastAsia="仿宋_GB2312"/>
          <w:sz w:val="32"/>
          <w:szCs w:val="32"/>
        </w:rPr>
      </w:pPr>
      <w:r>
        <w:rPr>
          <w:rFonts w:hint="eastAsia" w:ascii="仿宋_GB2312" w:hAnsi="宋体" w:eastAsia="仿宋_GB2312"/>
          <w:sz w:val="32"/>
          <w:szCs w:val="32"/>
        </w:rPr>
        <w:t>本授权书自出具之日起生效。</w:t>
      </w:r>
    </w:p>
    <w:p>
      <w:pPr>
        <w:spacing w:line="480" w:lineRule="exact"/>
        <w:rPr>
          <w:rFonts w:ascii="仿宋_GB2312" w:hAnsi="宋体" w:eastAsia="仿宋_GB2312"/>
          <w:sz w:val="32"/>
          <w:szCs w:val="32"/>
        </w:rPr>
      </w:pPr>
      <w:r>
        <w:rPr>
          <w:rFonts w:hint="eastAsia" w:ascii="仿宋_GB2312" w:hAnsi="宋体" w:eastAsia="仿宋_GB2312"/>
          <w:sz w:val="32"/>
          <w:szCs w:val="32"/>
        </w:rPr>
        <w:t>特此声明。</w:t>
      </w:r>
    </w:p>
    <w:p>
      <w:pPr>
        <w:spacing w:line="480" w:lineRule="exact"/>
        <w:rPr>
          <w:rFonts w:ascii="仿宋_GB2312" w:hAnsi="宋体" w:eastAsia="仿宋_GB2312"/>
          <w:sz w:val="32"/>
          <w:szCs w:val="32"/>
        </w:rPr>
      </w:pPr>
    </w:p>
    <w:p>
      <w:pPr>
        <w:spacing w:line="480" w:lineRule="exact"/>
        <w:rPr>
          <w:rFonts w:ascii="仿宋_GB2312" w:hAnsi="宋体" w:eastAsia="仿宋_GB2312"/>
          <w:sz w:val="32"/>
          <w:szCs w:val="32"/>
          <w:u w:val="single"/>
        </w:rPr>
      </w:pPr>
      <w:r>
        <w:rPr>
          <w:rFonts w:hint="eastAsia" w:ascii="仿宋_GB2312" w:hAnsi="宋体" w:eastAsia="仿宋_GB2312"/>
          <w:sz w:val="32"/>
          <w:szCs w:val="32"/>
        </w:rPr>
        <w:t>被授权人：  性别：</w:t>
      </w:r>
    </w:p>
    <w:p>
      <w:pPr>
        <w:spacing w:line="480" w:lineRule="exact"/>
        <w:rPr>
          <w:rFonts w:ascii="仿宋_GB2312" w:hAnsi="宋体" w:eastAsia="仿宋_GB2312"/>
          <w:sz w:val="32"/>
          <w:szCs w:val="32"/>
          <w:u w:val="single"/>
        </w:rPr>
      </w:pPr>
      <w:r>
        <w:rPr>
          <w:rFonts w:hint="eastAsia" w:ascii="仿宋_GB2312" w:hAnsi="宋体" w:eastAsia="仿宋_GB2312"/>
          <w:sz w:val="32"/>
          <w:szCs w:val="32"/>
        </w:rPr>
        <w:t>身份证号：</w:t>
      </w:r>
    </w:p>
    <w:p>
      <w:pPr>
        <w:spacing w:line="480" w:lineRule="exact"/>
        <w:rPr>
          <w:rFonts w:ascii="仿宋_GB2312" w:hAnsi="宋体" w:eastAsia="仿宋_GB2312"/>
          <w:sz w:val="32"/>
          <w:szCs w:val="32"/>
          <w:u w:val="single"/>
        </w:rPr>
      </w:pPr>
    </w:p>
    <w:p>
      <w:pPr>
        <w:spacing w:line="480" w:lineRule="exact"/>
        <w:rPr>
          <w:rFonts w:ascii="仿宋_GB2312" w:hAnsi="宋体" w:eastAsia="仿宋_GB2312"/>
          <w:sz w:val="32"/>
          <w:szCs w:val="32"/>
        </w:rPr>
      </w:pPr>
      <w:r>
        <w:rPr>
          <w:rFonts w:hint="eastAsia" w:ascii="仿宋_GB2312" w:hAnsi="宋体" w:eastAsia="仿宋_GB2312"/>
          <w:sz w:val="32"/>
          <w:szCs w:val="32"/>
        </w:rPr>
        <w:t>比选申请人（加盖公章或法人章）：</w:t>
      </w:r>
    </w:p>
    <w:p>
      <w:pPr>
        <w:spacing w:line="480" w:lineRule="exact"/>
        <w:rPr>
          <w:rFonts w:ascii="仿宋_GB2312" w:hAnsi="宋体" w:eastAsia="仿宋_GB2312"/>
          <w:sz w:val="32"/>
          <w:szCs w:val="32"/>
        </w:rPr>
      </w:pPr>
      <w:r>
        <w:rPr>
          <w:rFonts w:hint="eastAsia" w:ascii="仿宋_GB2312" w:hAnsi="宋体" w:eastAsia="仿宋_GB2312"/>
          <w:sz w:val="32"/>
          <w:szCs w:val="32"/>
        </w:rPr>
        <w:t>日     期：年月日</w:t>
      </w:r>
    </w:p>
    <w:p>
      <w:pPr>
        <w:spacing w:line="480" w:lineRule="exact"/>
        <w:rPr>
          <w:rFonts w:ascii="仿宋_GB2312" w:hAnsi="宋体" w:eastAsia="仿宋_GB2312"/>
          <w:sz w:val="32"/>
          <w:szCs w:val="32"/>
          <w:u w:val="single"/>
        </w:rPr>
      </w:pPr>
    </w:p>
    <w:p>
      <w:pPr>
        <w:spacing w:line="480" w:lineRule="exact"/>
        <w:rPr>
          <w:rFonts w:ascii="仿宋_GB2312" w:hAnsi="宋体" w:eastAsia="仿宋_GB2312"/>
          <w:sz w:val="32"/>
          <w:szCs w:val="32"/>
        </w:rPr>
      </w:pPr>
      <w:r>
        <w:rPr>
          <w:rFonts w:ascii="仿宋_GB2312" w:hAnsi="宋体" w:eastAsia="仿宋_GB2312"/>
          <w:sz w:val="32"/>
          <w:szCs w:val="32"/>
        </w:rPr>
        <w:t>被授权人身份证复印件</w:t>
      </w:r>
    </w:p>
    <w:p>
      <w:pPr>
        <w:spacing w:line="480" w:lineRule="exact"/>
        <w:rPr>
          <w:rFonts w:ascii="仿宋_GB2312" w:hAnsi="宋体" w:eastAsia="仿宋_GB2312"/>
          <w:sz w:val="32"/>
          <w:szCs w:val="32"/>
        </w:rPr>
      </w:pPr>
    </w:p>
    <w:p>
      <w:pPr>
        <w:spacing w:line="480" w:lineRule="exact"/>
        <w:rPr>
          <w:rFonts w:ascii="仿宋_GB2312" w:hAnsi="宋体" w:eastAsia="仿宋_GB2312"/>
          <w:sz w:val="32"/>
          <w:szCs w:val="32"/>
        </w:rPr>
      </w:pPr>
    </w:p>
    <w:p>
      <w:pPr>
        <w:spacing w:line="480" w:lineRule="exact"/>
        <w:rPr>
          <w:rFonts w:ascii="仿宋_GB2312" w:hAnsi="宋体" w:eastAsia="仿宋_GB2312"/>
          <w:sz w:val="28"/>
          <w:szCs w:val="28"/>
        </w:rPr>
      </w:pPr>
    </w:p>
    <w:p>
      <w:pPr>
        <w:spacing w:line="480" w:lineRule="exact"/>
        <w:rPr>
          <w:rFonts w:ascii="仿宋_GB2312" w:hAnsi="宋体" w:eastAsia="仿宋_GB2312"/>
          <w:sz w:val="28"/>
          <w:szCs w:val="28"/>
        </w:rPr>
      </w:pPr>
    </w:p>
    <w:bookmarkEnd w:id="4"/>
    <w:bookmarkEnd w:id="5"/>
    <w:bookmarkEnd w:id="6"/>
    <w:bookmarkEnd w:id="15"/>
    <w:p>
      <w:pPr>
        <w:spacing w:line="480" w:lineRule="exact"/>
        <w:jc w:val="center"/>
        <w:rPr>
          <w:rFonts w:ascii="黑体" w:hAnsi="黑体" w:eastAsia="黑体"/>
          <w:b/>
          <w:sz w:val="28"/>
          <w:szCs w:val="28"/>
        </w:rPr>
      </w:pPr>
      <w:bookmarkStart w:id="16" w:name="_Hlt526418111"/>
      <w:bookmarkEnd w:id="16"/>
      <w:bookmarkStart w:id="17" w:name="_Hlt526418103"/>
      <w:bookmarkEnd w:id="17"/>
      <w:r>
        <w:rPr>
          <w:rFonts w:hint="eastAsia" w:ascii="黑体" w:hAnsi="黑体" w:eastAsia="黑体"/>
          <w:b/>
          <w:sz w:val="28"/>
          <w:szCs w:val="28"/>
        </w:rPr>
        <w:t>六、廉洁承诺书</w:t>
      </w:r>
    </w:p>
    <w:p>
      <w:pPr>
        <w:spacing w:line="590" w:lineRule="exact"/>
        <w:rPr>
          <w:rFonts w:ascii="仿宋_GB2312" w:hAnsi="宋体" w:eastAsia="仿宋_GB2312"/>
          <w:sz w:val="32"/>
          <w:szCs w:val="32"/>
        </w:rPr>
      </w:pPr>
      <w:r>
        <w:rPr>
          <w:rFonts w:hint="eastAsia" w:ascii="仿宋_GB2312" w:hAnsi="宋体" w:eastAsia="仿宋_GB2312"/>
          <w:sz w:val="32"/>
          <w:szCs w:val="32"/>
        </w:rPr>
        <w:t>成都市大茂丰粮油贸易有限公司 ：</w:t>
      </w:r>
    </w:p>
    <w:p>
      <w:pPr>
        <w:spacing w:line="590" w:lineRule="exact"/>
        <w:ind w:firstLine="640" w:firstLineChars="200"/>
        <w:rPr>
          <w:rFonts w:ascii="仿宋_GB2312" w:hAnsi="宋体" w:eastAsia="仿宋_GB2312"/>
          <w:sz w:val="32"/>
          <w:szCs w:val="32"/>
        </w:rPr>
      </w:pPr>
      <w:r>
        <w:rPr>
          <w:rFonts w:hint="eastAsia" w:ascii="仿宋_GB2312" w:hAnsi="宋体" w:eastAsia="仿宋_GB2312"/>
          <w:sz w:val="32"/>
          <w:szCs w:val="32"/>
        </w:rPr>
        <w:t>我公司全称 ，自愿参与你公司立筒仓及配套设施设备对外提供仓储服务项目比选。我公司保证认真贯彻执行相关法律法规以及与廉洁有关的规章制度，特承诺：</w:t>
      </w:r>
    </w:p>
    <w:p>
      <w:pPr>
        <w:spacing w:line="590" w:lineRule="exact"/>
        <w:ind w:firstLine="640" w:firstLineChars="200"/>
        <w:rPr>
          <w:rFonts w:ascii="仿宋_GB2312" w:hAnsi="宋体" w:eastAsia="仿宋_GB2312"/>
          <w:sz w:val="32"/>
          <w:szCs w:val="32"/>
        </w:rPr>
      </w:pPr>
      <w:r>
        <w:rPr>
          <w:rFonts w:hint="eastAsia" w:ascii="仿宋_GB2312" w:hAnsi="宋体" w:eastAsia="仿宋_GB2312"/>
          <w:sz w:val="32"/>
          <w:szCs w:val="32"/>
        </w:rPr>
        <w:t>一、自觉遵守国家有关法律法规及廉洁规定。</w:t>
      </w:r>
    </w:p>
    <w:p>
      <w:pPr>
        <w:spacing w:line="590" w:lineRule="exact"/>
        <w:ind w:firstLine="640" w:firstLineChars="200"/>
        <w:rPr>
          <w:rFonts w:ascii="仿宋_GB2312" w:hAnsi="宋体" w:eastAsia="仿宋_GB2312"/>
          <w:sz w:val="32"/>
          <w:szCs w:val="32"/>
        </w:rPr>
      </w:pPr>
      <w:r>
        <w:rPr>
          <w:rFonts w:hint="eastAsia" w:ascii="仿宋_GB2312" w:hAnsi="宋体" w:eastAsia="仿宋_GB2312"/>
          <w:sz w:val="32"/>
          <w:szCs w:val="32"/>
        </w:rPr>
        <w:t>二、不与采购人工作人员串通投标，损害国家利益、企业利益以及他人的合法利益；不与其他比选申请人相互串通投标报价，不排挤其他比选申请人，不损害采购人或其他比选申请人的合法权益。</w:t>
      </w:r>
    </w:p>
    <w:p>
      <w:pPr>
        <w:spacing w:line="590" w:lineRule="exact"/>
        <w:ind w:firstLine="640" w:firstLineChars="200"/>
        <w:rPr>
          <w:rFonts w:ascii="仿宋_GB2312" w:hAnsi="宋体" w:eastAsia="仿宋_GB2312"/>
          <w:sz w:val="32"/>
          <w:szCs w:val="32"/>
        </w:rPr>
      </w:pPr>
      <w:r>
        <w:rPr>
          <w:rFonts w:hint="eastAsia" w:ascii="仿宋_GB2312" w:hAnsi="宋体" w:eastAsia="仿宋_GB2312"/>
          <w:sz w:val="32"/>
          <w:szCs w:val="32"/>
        </w:rPr>
        <w:t>三、不以任何名义为参与比选、评审工作的有关人员支付任何费用。</w:t>
      </w:r>
    </w:p>
    <w:p>
      <w:pPr>
        <w:spacing w:line="590" w:lineRule="exact"/>
        <w:ind w:firstLine="640" w:firstLineChars="200"/>
        <w:rPr>
          <w:rFonts w:ascii="仿宋_GB2312" w:hAnsi="宋体" w:eastAsia="仿宋_GB2312"/>
          <w:sz w:val="32"/>
          <w:szCs w:val="32"/>
        </w:rPr>
      </w:pPr>
      <w:r>
        <w:rPr>
          <w:rFonts w:hint="eastAsia" w:ascii="仿宋_GB2312" w:hAnsi="宋体" w:eastAsia="仿宋_GB2312"/>
          <w:sz w:val="32"/>
          <w:szCs w:val="32"/>
        </w:rPr>
        <w:t>四、不以任何名义向参与比选、评审工作的有关人员赠送回扣、红包、礼金、购物卡、有价证券、贵重物品和好处费、感谢费等。</w:t>
      </w:r>
    </w:p>
    <w:p>
      <w:pPr>
        <w:spacing w:line="590" w:lineRule="exact"/>
        <w:ind w:firstLine="640" w:firstLineChars="200"/>
        <w:rPr>
          <w:rFonts w:ascii="仿宋_GB2312" w:hAnsi="宋体" w:eastAsia="仿宋_GB2312"/>
          <w:sz w:val="32"/>
          <w:szCs w:val="32"/>
        </w:rPr>
      </w:pPr>
      <w:r>
        <w:rPr>
          <w:rFonts w:hint="eastAsia" w:ascii="仿宋_GB2312" w:hAnsi="宋体" w:eastAsia="仿宋_GB2312"/>
          <w:sz w:val="32"/>
          <w:szCs w:val="32"/>
        </w:rPr>
        <w:t>五、不以任何名义向参与比选、评审工作的有关人员提供消费宴请、娱乐活动及游玩等。</w:t>
      </w:r>
    </w:p>
    <w:p>
      <w:pPr>
        <w:spacing w:line="590" w:lineRule="exact"/>
        <w:ind w:firstLine="640" w:firstLineChars="200"/>
        <w:rPr>
          <w:rFonts w:ascii="仿宋_GB2312" w:hAnsi="宋体" w:eastAsia="仿宋_GB2312"/>
          <w:sz w:val="32"/>
          <w:szCs w:val="32"/>
        </w:rPr>
      </w:pPr>
      <w:r>
        <w:rPr>
          <w:rFonts w:hint="eastAsia" w:ascii="仿宋_GB2312" w:hAnsi="宋体" w:eastAsia="仿宋_GB2312"/>
          <w:sz w:val="32"/>
          <w:szCs w:val="32"/>
        </w:rPr>
        <w:t>六、不以谋取非正当利益为目的，擅自与参与比选、评审工作的有关人员进行私下商谈或者达成利益默契。</w:t>
      </w:r>
    </w:p>
    <w:p>
      <w:pPr>
        <w:spacing w:line="590" w:lineRule="exact"/>
        <w:ind w:firstLine="640" w:firstLineChars="200"/>
        <w:rPr>
          <w:rFonts w:ascii="仿宋_GB2312" w:hAnsi="宋体" w:eastAsia="仿宋_GB2312"/>
          <w:sz w:val="32"/>
          <w:szCs w:val="32"/>
        </w:rPr>
      </w:pPr>
      <w:r>
        <w:rPr>
          <w:rFonts w:hint="eastAsia" w:ascii="仿宋_GB2312" w:hAnsi="宋体" w:eastAsia="仿宋_GB2312"/>
          <w:sz w:val="32"/>
          <w:szCs w:val="32"/>
        </w:rPr>
        <w:t>如违反以上承诺，我公司自愿接受你公司依据有关规定对我公司进行严肃处理(包括但不限于实施市场禁入，取消投、中选资格以及终止合同等)，并承担由此给你公司造成的一切责任与经济损失。</w:t>
      </w:r>
    </w:p>
    <w:p>
      <w:pPr>
        <w:spacing w:line="590" w:lineRule="exact"/>
        <w:rPr>
          <w:rFonts w:ascii="仿宋_GB2312" w:hAnsi="宋体" w:eastAsia="仿宋_GB2312"/>
          <w:sz w:val="32"/>
          <w:szCs w:val="32"/>
        </w:rPr>
      </w:pPr>
      <w:r>
        <w:rPr>
          <w:rFonts w:hint="eastAsia" w:ascii="仿宋_GB2312" w:hAnsi="宋体" w:eastAsia="仿宋_GB2312"/>
          <w:sz w:val="32"/>
          <w:szCs w:val="32"/>
        </w:rPr>
        <w:t>　　特此承诺。</w:t>
      </w:r>
    </w:p>
    <w:p>
      <w:pPr>
        <w:widowControl/>
        <w:spacing w:line="590" w:lineRule="exact"/>
        <w:jc w:val="left"/>
        <w:rPr>
          <w:rFonts w:ascii="仿宋_GB2312" w:hAnsi="仿宋" w:eastAsia="仿宋_GB2312" w:cs="仿宋"/>
          <w:color w:val="000000"/>
          <w:sz w:val="32"/>
          <w:szCs w:val="32"/>
        </w:rPr>
      </w:pPr>
    </w:p>
    <w:p>
      <w:pPr>
        <w:widowControl/>
        <w:spacing w:line="590" w:lineRule="exact"/>
        <w:jc w:val="right"/>
        <w:rPr>
          <w:rFonts w:ascii="仿宋_GB2312" w:hAnsi="仿宋" w:eastAsia="仿宋_GB2312" w:cs="仿宋"/>
          <w:color w:val="000000"/>
          <w:sz w:val="32"/>
          <w:szCs w:val="32"/>
        </w:rPr>
      </w:pPr>
    </w:p>
    <w:p>
      <w:pPr>
        <w:spacing w:line="590" w:lineRule="exact"/>
        <w:ind w:right="1120"/>
        <w:jc w:val="center"/>
        <w:rPr>
          <w:rFonts w:ascii="仿宋_GB2312" w:hAnsi="宋体" w:eastAsia="仿宋_GB2312"/>
          <w:sz w:val="32"/>
          <w:szCs w:val="32"/>
        </w:rPr>
      </w:pPr>
      <w:r>
        <w:rPr>
          <w:rFonts w:hint="eastAsia" w:ascii="仿宋_GB2312" w:hAnsi="宋体" w:eastAsia="仿宋_GB2312"/>
          <w:sz w:val="32"/>
          <w:szCs w:val="32"/>
        </w:rPr>
        <w:t xml:space="preserve">承诺人（盖章）：                              </w:t>
      </w:r>
    </w:p>
    <w:p>
      <w:pPr>
        <w:spacing w:line="590" w:lineRule="exact"/>
        <w:rPr>
          <w:rFonts w:ascii="仿宋_GB2312" w:hAnsi="宋体" w:eastAsia="仿宋_GB2312"/>
          <w:sz w:val="32"/>
          <w:szCs w:val="32"/>
        </w:rPr>
      </w:pPr>
      <w:r>
        <w:rPr>
          <w:rFonts w:hint="eastAsia" w:ascii="仿宋_GB2312" w:hAnsi="宋体" w:eastAsia="仿宋_GB2312"/>
          <w:sz w:val="32"/>
          <w:szCs w:val="32"/>
        </w:rPr>
        <w:t>年    月    日</w:t>
      </w:r>
    </w:p>
    <w:p>
      <w:pPr>
        <w:spacing w:line="480" w:lineRule="exact"/>
        <w:jc w:val="center"/>
        <w:rPr>
          <w:rFonts w:ascii="黑体" w:hAnsi="黑体" w:eastAsia="黑体"/>
          <w:b/>
          <w:sz w:val="32"/>
          <w:szCs w:val="32"/>
        </w:rPr>
      </w:pPr>
    </w:p>
    <w:p>
      <w:pPr>
        <w:pStyle w:val="2"/>
      </w:pPr>
    </w:p>
    <w:p>
      <w:pPr>
        <w:widowControl/>
        <w:jc w:val="left"/>
        <w:rPr>
          <w:rFonts w:ascii="仿宋" w:hAnsi="仿宋" w:eastAsia="仿宋"/>
          <w:sz w:val="24"/>
          <w:szCs w:val="24"/>
        </w:rPr>
      </w:pPr>
    </w:p>
    <w:p/>
    <w:sectPr>
      <w:footerReference r:id="rId3" w:type="default"/>
      <w:pgSz w:w="11906" w:h="16838"/>
      <w:pgMar w:top="2098" w:right="1474" w:bottom="1985" w:left="1588" w:header="851" w:footer="992" w:gutter="0"/>
      <w:pgNumType w:fmt="numberInDash"/>
      <w:cols w:space="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 w:name="方正小标宋简体">
    <w:panose1 w:val="03000509000000000000"/>
    <w:charset w:val="86"/>
    <w:family w:val="script"/>
    <w:pitch w:val="default"/>
    <w:sig w:usb0="00000001" w:usb1="080E0000" w:usb2="00000000" w:usb3="00000000" w:csb0="00040000" w:csb1="00000000"/>
  </w:font>
  <w:font w:name="DFKai-SB">
    <w:altName w:val="Microsoft JhengHei Light"/>
    <w:panose1 w:val="03000509000000000000"/>
    <w:charset w:val="88"/>
    <w:family w:val="script"/>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Microsoft JhengHei Light">
    <w:panose1 w:val="020B0304030504040204"/>
    <w:charset w:val="88"/>
    <w:family w:val="auto"/>
    <w:pitch w:val="default"/>
    <w:sig w:usb0="8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rPr>
                              <w:rFonts w:ascii="宋体" w:hAnsi="宋体"/>
                              <w:sz w:val="28"/>
                              <w:szCs w:val="28"/>
                            </w:rPr>
                          </w:pPr>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ascii="宋体" w:hAnsi="宋体"/>
                              <w:sz w:val="28"/>
                              <w:szCs w:val="28"/>
                            </w:rPr>
                            <w:t>- 1 -</w:t>
                          </w:r>
                          <w:r>
                            <w:rPr>
                              <w:rFonts w:hint="eastAsia" w:ascii="宋体" w:hAnsi="宋体"/>
                              <w:sz w:val="28"/>
                              <w:szCs w:val="2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12"/>
                      <w:rPr>
                        <w:rFonts w:ascii="宋体" w:hAnsi="宋体"/>
                        <w:sz w:val="28"/>
                        <w:szCs w:val="28"/>
                      </w:rPr>
                    </w:pPr>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ascii="宋体" w:hAnsi="宋体"/>
                        <w:sz w:val="28"/>
                        <w:szCs w:val="28"/>
                      </w:rPr>
                      <w:t>- 1 -</w:t>
                    </w:r>
                    <w:r>
                      <w:rPr>
                        <w:rFonts w:hint="eastAsia" w:ascii="宋体" w:hAnsi="宋体"/>
                        <w:sz w:val="28"/>
                        <w:szCs w:val="28"/>
                      </w:rPr>
                      <w:fldChar w:fldCharType="end"/>
                    </w:r>
                  </w:p>
                </w:txbxContent>
              </v:textbox>
            </v:shape>
          </w:pict>
        </mc:Fallback>
      </mc:AlternateContent>
    </w:r>
  </w:p>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8EAD30"/>
    <w:multiLevelType w:val="singleLevel"/>
    <w:tmpl w:val="8C8EAD30"/>
    <w:lvl w:ilvl="0" w:tentative="0">
      <w:start w:val="2"/>
      <w:numFmt w:val="chineseCounting"/>
      <w:suff w:val="nothing"/>
      <w:lvlText w:val="%1、"/>
      <w:lvlJc w:val="left"/>
      <w:rPr>
        <w:rFonts w:hint="eastAsia"/>
      </w:rPr>
    </w:lvl>
  </w:abstractNum>
  <w:abstractNum w:abstractNumId="1">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pStyle w:val="37"/>
      <w:suff w:val="nothing"/>
      <w:lvlText w:val="(%2)"/>
      <w:lvlJc w:val="left"/>
      <w:pPr>
        <w:ind w:left="142" w:firstLine="0"/>
      </w:pPr>
      <w:rPr>
        <w:rFonts w:hint="eastAsia" w:ascii="宋体" w:hAnsi="宋体" w:eastAsia="宋体" w:cs="宋体"/>
      </w:rPr>
    </w:lvl>
    <w:lvl w:ilvl="2" w:tentative="0">
      <w:start w:val="1"/>
      <w:numFmt w:val="decimal"/>
      <w:pStyle w:val="38"/>
      <w:suff w:val="nothing"/>
      <w:lvlText w:val="%3."/>
      <w:lvlJc w:val="left"/>
      <w:pPr>
        <w:ind w:left="0" w:firstLine="0"/>
      </w:pPr>
      <w:rPr>
        <w:rFonts w:hint="eastAsia" w:ascii="宋体" w:hAnsi="宋体" w:eastAsia="宋体" w:cs="宋体"/>
      </w:rPr>
    </w:lvl>
    <w:lvl w:ilvl="3" w:tentative="0">
      <w:start w:val="1"/>
      <w:numFmt w:val="decimal"/>
      <w:pStyle w:val="39"/>
      <w:suff w:val="nothing"/>
      <w:lvlText w:val="%3.%4"/>
      <w:lvlJc w:val="left"/>
      <w:pPr>
        <w:ind w:left="0" w:firstLine="0"/>
      </w:pPr>
      <w:rPr>
        <w:rFonts w:hint="eastAsia" w:ascii="宋体" w:hAnsi="宋体" w:eastAsia="宋体" w:cs="宋体"/>
      </w:rPr>
    </w:lvl>
    <w:lvl w:ilvl="4" w:tentative="0">
      <w:start w:val="1"/>
      <w:numFmt w:val="decimal"/>
      <w:pStyle w:val="40"/>
      <w:suff w:val="nothing"/>
      <w:lvlText w:val="(%5)"/>
      <w:lvlJc w:val="left"/>
      <w:pPr>
        <w:ind w:left="0" w:firstLine="0"/>
      </w:pPr>
      <w:rPr>
        <w:rFonts w:hint="eastAsia" w:ascii="宋体" w:hAnsi="宋体" w:eastAsia="宋体" w:cs="宋体"/>
      </w:rPr>
    </w:lvl>
    <w:lvl w:ilvl="5" w:tentative="0">
      <w:start w:val="1"/>
      <w:numFmt w:val="decimal"/>
      <w:pStyle w:val="5"/>
      <w:suff w:val="nothing"/>
      <w:lvlText w:val="%6）"/>
      <w:lvlJc w:val="left"/>
      <w:pPr>
        <w:ind w:left="0" w:firstLine="402"/>
      </w:pPr>
    </w:lvl>
    <w:lvl w:ilvl="6" w:tentative="0">
      <w:start w:val="1"/>
      <w:numFmt w:val="lowerLetter"/>
      <w:pStyle w:val="6"/>
      <w:suff w:val="nothing"/>
      <w:lvlText w:val="%7．"/>
      <w:lvlJc w:val="left"/>
      <w:pPr>
        <w:ind w:left="0" w:firstLine="402"/>
      </w:pPr>
    </w:lvl>
    <w:lvl w:ilvl="7" w:tentative="0">
      <w:start w:val="1"/>
      <w:numFmt w:val="lowerLetter"/>
      <w:pStyle w:val="7"/>
      <w:suff w:val="nothing"/>
      <w:lvlText w:val="%8）"/>
      <w:lvlJc w:val="left"/>
      <w:pPr>
        <w:ind w:left="0" w:firstLine="402"/>
      </w:pPr>
    </w:lvl>
    <w:lvl w:ilvl="8" w:tentative="0">
      <w:start w:val="1"/>
      <w:numFmt w:val="lowerRoman"/>
      <w:pStyle w:val="8"/>
      <w:suff w:val="nothing"/>
      <w:lvlText w:val="%9 "/>
      <w:lvlJc w:val="left"/>
      <w:pPr>
        <w:ind w:left="0" w:firstLine="402"/>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35B"/>
    <w:rsid w:val="000F4A25"/>
    <w:rsid w:val="00AF135B"/>
    <w:rsid w:val="2ECD6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4"/>
    <w:qFormat/>
    <w:uiPriority w:val="9"/>
    <w:pPr>
      <w:keepNext/>
      <w:keepLines/>
      <w:spacing w:before="340" w:after="330" w:line="578" w:lineRule="auto"/>
      <w:outlineLvl w:val="0"/>
    </w:pPr>
    <w:rPr>
      <w:rFonts w:ascii="等线" w:hAnsi="等线" w:eastAsia="等线"/>
      <w:b/>
      <w:bCs/>
      <w:kern w:val="44"/>
      <w:sz w:val="44"/>
      <w:szCs w:val="44"/>
    </w:rPr>
  </w:style>
  <w:style w:type="paragraph" w:styleId="4">
    <w:name w:val="heading 2"/>
    <w:basedOn w:val="1"/>
    <w:next w:val="1"/>
    <w:link w:val="25"/>
    <w:qFormat/>
    <w:uiPriority w:val="99"/>
    <w:pPr>
      <w:spacing w:beforeAutospacing="1" w:afterAutospacing="1"/>
      <w:jc w:val="left"/>
      <w:outlineLvl w:val="1"/>
    </w:pPr>
    <w:rPr>
      <w:rFonts w:ascii="宋体" w:hAnsi="宋体"/>
      <w:b/>
      <w:kern w:val="0"/>
      <w:sz w:val="36"/>
      <w:szCs w:val="36"/>
    </w:rPr>
  </w:style>
  <w:style w:type="paragraph" w:styleId="5">
    <w:name w:val="heading 6"/>
    <w:basedOn w:val="1"/>
    <w:next w:val="1"/>
    <w:link w:val="26"/>
    <w:unhideWhenUsed/>
    <w:qFormat/>
    <w:uiPriority w:val="0"/>
    <w:pPr>
      <w:keepNext/>
      <w:keepLines/>
      <w:numPr>
        <w:ilvl w:val="5"/>
        <w:numId w:val="1"/>
      </w:numPr>
      <w:tabs>
        <w:tab w:val="left" w:pos="0"/>
      </w:tabs>
      <w:adjustRightInd w:val="0"/>
      <w:snapToGrid w:val="0"/>
      <w:spacing w:line="316" w:lineRule="auto"/>
      <w:jc w:val="left"/>
      <w:outlineLvl w:val="5"/>
    </w:pPr>
    <w:rPr>
      <w:rFonts w:ascii="Arial" w:hAnsi="Arial" w:eastAsia="黑体"/>
      <w:b/>
      <w:sz w:val="24"/>
      <w:szCs w:val="24"/>
    </w:rPr>
  </w:style>
  <w:style w:type="paragraph" w:styleId="6">
    <w:name w:val="heading 7"/>
    <w:basedOn w:val="1"/>
    <w:next w:val="1"/>
    <w:link w:val="27"/>
    <w:unhideWhenUsed/>
    <w:qFormat/>
    <w:uiPriority w:val="0"/>
    <w:pPr>
      <w:keepNext/>
      <w:keepLines/>
      <w:numPr>
        <w:ilvl w:val="6"/>
        <w:numId w:val="1"/>
      </w:numPr>
      <w:tabs>
        <w:tab w:val="left" w:pos="0"/>
      </w:tabs>
      <w:adjustRightInd w:val="0"/>
      <w:snapToGrid w:val="0"/>
      <w:spacing w:line="316" w:lineRule="auto"/>
      <w:jc w:val="left"/>
      <w:outlineLvl w:val="6"/>
    </w:pPr>
    <w:rPr>
      <w:rFonts w:ascii="宋体" w:hAnsi="宋体"/>
      <w:b/>
      <w:sz w:val="24"/>
      <w:szCs w:val="24"/>
    </w:rPr>
  </w:style>
  <w:style w:type="paragraph" w:styleId="7">
    <w:name w:val="heading 8"/>
    <w:basedOn w:val="1"/>
    <w:next w:val="1"/>
    <w:link w:val="28"/>
    <w:unhideWhenUsed/>
    <w:qFormat/>
    <w:uiPriority w:val="0"/>
    <w:pPr>
      <w:keepNext/>
      <w:keepLines/>
      <w:numPr>
        <w:ilvl w:val="7"/>
        <w:numId w:val="1"/>
      </w:numPr>
      <w:tabs>
        <w:tab w:val="left" w:pos="0"/>
      </w:tabs>
      <w:adjustRightInd w:val="0"/>
      <w:snapToGrid w:val="0"/>
      <w:spacing w:line="316" w:lineRule="auto"/>
      <w:jc w:val="left"/>
      <w:outlineLvl w:val="7"/>
    </w:pPr>
    <w:rPr>
      <w:rFonts w:ascii="Arial" w:hAnsi="Arial" w:eastAsia="黑体"/>
      <w:sz w:val="24"/>
      <w:szCs w:val="24"/>
    </w:rPr>
  </w:style>
  <w:style w:type="paragraph" w:styleId="8">
    <w:name w:val="heading 9"/>
    <w:basedOn w:val="1"/>
    <w:next w:val="1"/>
    <w:link w:val="29"/>
    <w:unhideWhenUsed/>
    <w:qFormat/>
    <w:uiPriority w:val="0"/>
    <w:pPr>
      <w:keepNext/>
      <w:keepLines/>
      <w:numPr>
        <w:ilvl w:val="8"/>
        <w:numId w:val="1"/>
      </w:numPr>
      <w:tabs>
        <w:tab w:val="left" w:pos="0"/>
      </w:tabs>
      <w:adjustRightInd w:val="0"/>
      <w:snapToGrid w:val="0"/>
      <w:spacing w:line="316" w:lineRule="auto"/>
      <w:jc w:val="left"/>
      <w:outlineLvl w:val="8"/>
    </w:pPr>
    <w:rPr>
      <w:rFonts w:ascii="Arial" w:hAnsi="Arial" w:eastAsia="黑体"/>
      <w:szCs w:val="24"/>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pPr>
    <w:rPr>
      <w:rFonts w:ascii="仿宋" w:hAnsi="仿宋" w:eastAsia="仿宋"/>
      <w:sz w:val="24"/>
      <w:szCs w:val="24"/>
    </w:rPr>
  </w:style>
  <w:style w:type="paragraph" w:styleId="9">
    <w:name w:val="annotation text"/>
    <w:basedOn w:val="1"/>
    <w:link w:val="30"/>
    <w:unhideWhenUsed/>
    <w:qFormat/>
    <w:uiPriority w:val="0"/>
    <w:pPr>
      <w:jc w:val="left"/>
    </w:pPr>
  </w:style>
  <w:style w:type="paragraph" w:styleId="10">
    <w:name w:val="Date"/>
    <w:basedOn w:val="1"/>
    <w:next w:val="1"/>
    <w:link w:val="31"/>
    <w:qFormat/>
    <w:uiPriority w:val="0"/>
    <w:pPr>
      <w:ind w:left="100" w:leftChars="2500"/>
    </w:pPr>
  </w:style>
  <w:style w:type="paragraph" w:styleId="11">
    <w:name w:val="Balloon Text"/>
    <w:basedOn w:val="1"/>
    <w:link w:val="32"/>
    <w:qFormat/>
    <w:uiPriority w:val="99"/>
    <w:rPr>
      <w:sz w:val="18"/>
      <w:szCs w:val="18"/>
    </w:rPr>
  </w:style>
  <w:style w:type="paragraph" w:styleId="12">
    <w:name w:val="footer"/>
    <w:basedOn w:val="1"/>
    <w:link w:val="23"/>
    <w:unhideWhenUsed/>
    <w:qFormat/>
    <w:uiPriority w:val="99"/>
    <w:pPr>
      <w:tabs>
        <w:tab w:val="center" w:pos="4153"/>
        <w:tab w:val="right" w:pos="8306"/>
      </w:tabs>
      <w:snapToGrid w:val="0"/>
      <w:jc w:val="left"/>
    </w:pPr>
    <w:rPr>
      <w:sz w:val="18"/>
      <w:szCs w:val="18"/>
    </w:rPr>
  </w:style>
  <w:style w:type="paragraph" w:styleId="13">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qFormat/>
    <w:uiPriority w:val="99"/>
    <w:rPr>
      <w:rFonts w:ascii="Calibri" w:hAnsi="Calibri"/>
      <w:sz w:val="24"/>
      <w:szCs w:val="24"/>
    </w:rPr>
  </w:style>
  <w:style w:type="table" w:styleId="16">
    <w:name w:val="Table Grid"/>
    <w:basedOn w:val="15"/>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FollowedHyperlink"/>
    <w:basedOn w:val="17"/>
    <w:semiHidden/>
    <w:unhideWhenUsed/>
    <w:qFormat/>
    <w:uiPriority w:val="0"/>
    <w:rPr>
      <w:color w:val="2B2B2B"/>
      <w:u w:val="none"/>
    </w:rPr>
  </w:style>
  <w:style w:type="character" w:styleId="19">
    <w:name w:val="Emphasis"/>
    <w:basedOn w:val="17"/>
    <w:qFormat/>
    <w:uiPriority w:val="0"/>
  </w:style>
  <w:style w:type="character" w:styleId="20">
    <w:name w:val="Hyperlink"/>
    <w:basedOn w:val="17"/>
    <w:unhideWhenUsed/>
    <w:qFormat/>
    <w:uiPriority w:val="99"/>
    <w:rPr>
      <w:color w:val="2B2B2B"/>
      <w:u w:val="none"/>
    </w:rPr>
  </w:style>
  <w:style w:type="character" w:styleId="21">
    <w:name w:val="annotation reference"/>
    <w:basedOn w:val="17"/>
    <w:semiHidden/>
    <w:unhideWhenUsed/>
    <w:qFormat/>
    <w:uiPriority w:val="0"/>
    <w:rPr>
      <w:sz w:val="21"/>
      <w:szCs w:val="21"/>
    </w:rPr>
  </w:style>
  <w:style w:type="character" w:customStyle="1" w:styleId="22">
    <w:name w:val="页眉 Char"/>
    <w:basedOn w:val="17"/>
    <w:link w:val="13"/>
    <w:qFormat/>
    <w:uiPriority w:val="99"/>
    <w:rPr>
      <w:sz w:val="18"/>
      <w:szCs w:val="18"/>
    </w:rPr>
  </w:style>
  <w:style w:type="character" w:customStyle="1" w:styleId="23">
    <w:name w:val="页脚 Char"/>
    <w:basedOn w:val="17"/>
    <w:link w:val="12"/>
    <w:qFormat/>
    <w:uiPriority w:val="99"/>
    <w:rPr>
      <w:sz w:val="18"/>
      <w:szCs w:val="18"/>
    </w:rPr>
  </w:style>
  <w:style w:type="character" w:customStyle="1" w:styleId="24">
    <w:name w:val="标题 1 Char"/>
    <w:basedOn w:val="17"/>
    <w:link w:val="3"/>
    <w:qFormat/>
    <w:uiPriority w:val="9"/>
    <w:rPr>
      <w:rFonts w:ascii="等线" w:hAnsi="等线" w:eastAsia="等线" w:cs="Times New Roman"/>
      <w:b/>
      <w:bCs/>
      <w:kern w:val="44"/>
      <w:sz w:val="44"/>
      <w:szCs w:val="44"/>
    </w:rPr>
  </w:style>
  <w:style w:type="character" w:customStyle="1" w:styleId="25">
    <w:name w:val="标题 2 Char"/>
    <w:basedOn w:val="17"/>
    <w:link w:val="4"/>
    <w:qFormat/>
    <w:uiPriority w:val="99"/>
    <w:rPr>
      <w:rFonts w:ascii="宋体" w:hAnsi="宋体" w:eastAsia="宋体" w:cs="Times New Roman"/>
      <w:b/>
      <w:kern w:val="0"/>
      <w:sz w:val="36"/>
      <w:szCs w:val="36"/>
    </w:rPr>
  </w:style>
  <w:style w:type="character" w:customStyle="1" w:styleId="26">
    <w:name w:val="标题 6 Char"/>
    <w:basedOn w:val="17"/>
    <w:link w:val="5"/>
    <w:qFormat/>
    <w:uiPriority w:val="0"/>
    <w:rPr>
      <w:rFonts w:ascii="Arial" w:hAnsi="Arial" w:eastAsia="黑体" w:cs="Times New Roman"/>
      <w:b/>
      <w:sz w:val="24"/>
      <w:szCs w:val="24"/>
    </w:rPr>
  </w:style>
  <w:style w:type="character" w:customStyle="1" w:styleId="27">
    <w:name w:val="标题 7 Char"/>
    <w:basedOn w:val="17"/>
    <w:link w:val="6"/>
    <w:qFormat/>
    <w:uiPriority w:val="0"/>
    <w:rPr>
      <w:rFonts w:ascii="宋体" w:hAnsi="宋体" w:eastAsia="宋体" w:cs="Times New Roman"/>
      <w:b/>
      <w:sz w:val="24"/>
      <w:szCs w:val="24"/>
    </w:rPr>
  </w:style>
  <w:style w:type="character" w:customStyle="1" w:styleId="28">
    <w:name w:val="标题 8 Char"/>
    <w:basedOn w:val="17"/>
    <w:link w:val="7"/>
    <w:qFormat/>
    <w:uiPriority w:val="0"/>
    <w:rPr>
      <w:rFonts w:ascii="Arial" w:hAnsi="Arial" w:eastAsia="黑体" w:cs="Times New Roman"/>
      <w:sz w:val="24"/>
      <w:szCs w:val="24"/>
    </w:rPr>
  </w:style>
  <w:style w:type="character" w:customStyle="1" w:styleId="29">
    <w:name w:val="标题 9 Char"/>
    <w:basedOn w:val="17"/>
    <w:link w:val="8"/>
    <w:qFormat/>
    <w:uiPriority w:val="0"/>
    <w:rPr>
      <w:rFonts w:ascii="Arial" w:hAnsi="Arial" w:eastAsia="黑体" w:cs="Times New Roman"/>
      <w:szCs w:val="24"/>
    </w:rPr>
  </w:style>
  <w:style w:type="character" w:customStyle="1" w:styleId="30">
    <w:name w:val="批注文字 Char"/>
    <w:basedOn w:val="17"/>
    <w:link w:val="9"/>
    <w:qFormat/>
    <w:uiPriority w:val="0"/>
    <w:rPr>
      <w:rFonts w:ascii="Times New Roman" w:hAnsi="Times New Roman" w:eastAsia="宋体" w:cs="Times New Roman"/>
    </w:rPr>
  </w:style>
  <w:style w:type="character" w:customStyle="1" w:styleId="31">
    <w:name w:val="日期 Char"/>
    <w:basedOn w:val="17"/>
    <w:link w:val="10"/>
    <w:qFormat/>
    <w:uiPriority w:val="0"/>
    <w:rPr>
      <w:rFonts w:ascii="Times New Roman" w:hAnsi="Times New Roman" w:eastAsia="宋体" w:cs="Times New Roman"/>
    </w:rPr>
  </w:style>
  <w:style w:type="character" w:customStyle="1" w:styleId="32">
    <w:name w:val="批注框文本 Char"/>
    <w:basedOn w:val="17"/>
    <w:link w:val="11"/>
    <w:qFormat/>
    <w:uiPriority w:val="99"/>
    <w:rPr>
      <w:rFonts w:ascii="Times New Roman" w:hAnsi="Times New Roman" w:eastAsia="宋体" w:cs="Times New Roman"/>
      <w:sz w:val="18"/>
      <w:szCs w:val="18"/>
    </w:rPr>
  </w:style>
  <w:style w:type="character" w:styleId="33">
    <w:name w:val="Placeholder Text"/>
    <w:basedOn w:val="17"/>
    <w:unhideWhenUsed/>
    <w:qFormat/>
    <w:uiPriority w:val="99"/>
    <w:rPr>
      <w:color w:val="808080"/>
    </w:rPr>
  </w:style>
  <w:style w:type="paragraph" w:styleId="34">
    <w:name w:val="List Paragraph"/>
    <w:basedOn w:val="1"/>
    <w:unhideWhenUsed/>
    <w:qFormat/>
    <w:uiPriority w:val="1"/>
    <w:pPr>
      <w:ind w:firstLine="420" w:firstLineChars="200"/>
    </w:pPr>
    <w:rPr>
      <w:rFonts w:asciiTheme="minorHAnsi" w:hAnsiTheme="minorHAnsi" w:eastAsiaTheme="minorEastAsia" w:cstheme="minorBidi"/>
      <w:szCs w:val="24"/>
    </w:rPr>
  </w:style>
  <w:style w:type="character" w:customStyle="1" w:styleId="35">
    <w:name w:val="zx-detail-expand-text"/>
    <w:basedOn w:val="17"/>
    <w:qFormat/>
    <w:uiPriority w:val="0"/>
  </w:style>
  <w:style w:type="character" w:customStyle="1" w:styleId="36">
    <w:name w:val="05、“(一)”正文三级标题 Char"/>
    <w:link w:val="37"/>
    <w:qFormat/>
    <w:locked/>
    <w:uiPriority w:val="0"/>
    <w:rPr>
      <w:rFonts w:ascii="宋体" w:hAnsi="宋体"/>
      <w:sz w:val="24"/>
      <w:szCs w:val="24"/>
    </w:rPr>
  </w:style>
  <w:style w:type="paragraph" w:customStyle="1" w:styleId="37">
    <w:name w:val="05、“(一)”正文三级标题"/>
    <w:basedOn w:val="1"/>
    <w:link w:val="36"/>
    <w:qFormat/>
    <w:uiPriority w:val="0"/>
    <w:pPr>
      <w:numPr>
        <w:ilvl w:val="1"/>
        <w:numId w:val="1"/>
      </w:numPr>
      <w:tabs>
        <w:tab w:val="left" w:pos="0"/>
      </w:tabs>
      <w:wordWrap w:val="0"/>
      <w:topLinePunct/>
      <w:adjustRightInd w:val="0"/>
      <w:snapToGrid w:val="0"/>
      <w:spacing w:line="440" w:lineRule="exact"/>
      <w:jc w:val="left"/>
    </w:pPr>
    <w:rPr>
      <w:rFonts w:ascii="宋体" w:hAnsi="宋体" w:eastAsiaTheme="minorEastAsia" w:cstheme="minorBidi"/>
      <w:sz w:val="24"/>
      <w:szCs w:val="24"/>
    </w:rPr>
  </w:style>
  <w:style w:type="paragraph" w:customStyle="1" w:styleId="38">
    <w:name w:val="06、“1.”正文四级标题"/>
    <w:basedOn w:val="1"/>
    <w:qFormat/>
    <w:uiPriority w:val="0"/>
    <w:pPr>
      <w:numPr>
        <w:ilvl w:val="2"/>
        <w:numId w:val="1"/>
      </w:numPr>
      <w:tabs>
        <w:tab w:val="left" w:pos="0"/>
      </w:tabs>
      <w:wordWrap w:val="0"/>
      <w:topLinePunct/>
      <w:adjustRightInd w:val="0"/>
      <w:snapToGrid w:val="0"/>
      <w:spacing w:line="440" w:lineRule="exact"/>
      <w:ind w:left="1540" w:firstLine="803" w:firstLineChars="200"/>
      <w:jc w:val="left"/>
    </w:pPr>
    <w:rPr>
      <w:rFonts w:ascii="宋体" w:hAnsi="宋体"/>
      <w:snapToGrid w:val="0"/>
      <w:sz w:val="24"/>
      <w:szCs w:val="24"/>
    </w:rPr>
  </w:style>
  <w:style w:type="paragraph" w:customStyle="1" w:styleId="39">
    <w:name w:val="07、“1.1”正文五级标题"/>
    <w:basedOn w:val="1"/>
    <w:qFormat/>
    <w:uiPriority w:val="0"/>
    <w:pPr>
      <w:numPr>
        <w:ilvl w:val="3"/>
        <w:numId w:val="1"/>
      </w:numPr>
      <w:tabs>
        <w:tab w:val="left" w:pos="0"/>
      </w:tabs>
      <w:adjustRightInd w:val="0"/>
      <w:snapToGrid w:val="0"/>
      <w:spacing w:line="440" w:lineRule="exact"/>
      <w:ind w:left="1960" w:firstLine="803" w:firstLineChars="200"/>
      <w:jc w:val="left"/>
    </w:pPr>
    <w:rPr>
      <w:rFonts w:ascii="宋体" w:hAnsi="宋体"/>
      <w:sz w:val="24"/>
      <w:szCs w:val="24"/>
    </w:rPr>
  </w:style>
  <w:style w:type="paragraph" w:customStyle="1" w:styleId="40">
    <w:name w:val="08、“(1)”正文六级标题"/>
    <w:basedOn w:val="1"/>
    <w:qFormat/>
    <w:uiPriority w:val="0"/>
    <w:pPr>
      <w:numPr>
        <w:ilvl w:val="4"/>
        <w:numId w:val="1"/>
      </w:numPr>
      <w:tabs>
        <w:tab w:val="left" w:pos="0"/>
      </w:tabs>
      <w:adjustRightInd w:val="0"/>
      <w:snapToGrid w:val="0"/>
      <w:spacing w:line="440" w:lineRule="exact"/>
      <w:ind w:left="2380" w:firstLine="803" w:firstLineChars="200"/>
      <w:jc w:val="left"/>
    </w:pPr>
    <w:rPr>
      <w:rFonts w:ascii="宋体" w:hAnsi="宋体"/>
      <w:sz w:val="24"/>
      <w:szCs w:val="24"/>
    </w:rPr>
  </w:style>
  <w:style w:type="paragraph" w:customStyle="1" w:styleId="41">
    <w:name w:val="2级标题"/>
    <w:basedOn w:val="42"/>
    <w:next w:val="1"/>
    <w:qFormat/>
    <w:uiPriority w:val="0"/>
    <w:pPr>
      <w:ind w:firstLine="640"/>
      <w:outlineLvl w:val="1"/>
    </w:pPr>
    <w:rPr>
      <w:rFonts w:eastAsia="楷体_GB2312"/>
    </w:rPr>
  </w:style>
  <w:style w:type="paragraph" w:customStyle="1" w:styleId="42">
    <w:name w:val="1级标题"/>
    <w:basedOn w:val="1"/>
    <w:next w:val="41"/>
    <w:qFormat/>
    <w:uiPriority w:val="0"/>
    <w:pPr>
      <w:spacing w:line="600" w:lineRule="exact"/>
      <w:outlineLvl w:val="0"/>
    </w:pPr>
    <w:rPr>
      <w:rFonts w:eastAsia="黑体"/>
      <w:szCs w:val="20"/>
    </w:rPr>
  </w:style>
  <w:style w:type="paragraph" w:customStyle="1" w:styleId="43">
    <w:name w:val="标题 11"/>
    <w:basedOn w:val="1"/>
    <w:next w:val="1"/>
    <w:qFormat/>
    <w:uiPriority w:val="9"/>
    <w:pPr>
      <w:keepNext/>
      <w:keepLines/>
      <w:spacing w:before="340" w:after="330" w:line="578" w:lineRule="auto"/>
      <w:outlineLvl w:val="0"/>
    </w:pPr>
    <w:rPr>
      <w:rFonts w:ascii="等线" w:hAnsi="等线" w:eastAsia="等线"/>
      <w:b/>
      <w:bCs/>
      <w:kern w:val="44"/>
      <w:sz w:val="44"/>
      <w:szCs w:val="44"/>
    </w:rPr>
  </w:style>
  <w:style w:type="character" w:customStyle="1" w:styleId="44">
    <w:name w:val="占位符文本1"/>
    <w:basedOn w:val="17"/>
    <w:unhideWhenUsed/>
    <w:qFormat/>
    <w:uiPriority w:val="99"/>
    <w:rPr>
      <w:color w:val="808080"/>
    </w:rPr>
  </w:style>
  <w:style w:type="paragraph" w:customStyle="1" w:styleId="45">
    <w:name w:val="列表段落1"/>
    <w:basedOn w:val="1"/>
    <w:unhideWhenUsed/>
    <w:qFormat/>
    <w:uiPriority w:val="99"/>
    <w:pPr>
      <w:ind w:firstLine="420" w:firstLineChars="200"/>
    </w:pPr>
    <w:rPr>
      <w:rFonts w:ascii="等线" w:hAnsi="等线" w:eastAsia="等线"/>
      <w:szCs w:val="24"/>
    </w:rPr>
  </w:style>
  <w:style w:type="character" w:customStyle="1" w:styleId="46">
    <w:name w:val="bds_more"/>
    <w:basedOn w:val="17"/>
    <w:qFormat/>
    <w:uiPriority w:val="0"/>
    <w:rPr>
      <w:rFonts w:hint="eastAsia" w:ascii="宋体" w:hAnsi="宋体" w:eastAsia="宋体" w:cs="宋体"/>
    </w:rPr>
  </w:style>
  <w:style w:type="character" w:customStyle="1" w:styleId="47">
    <w:name w:val="bds_more1"/>
    <w:basedOn w:val="17"/>
    <w:qFormat/>
    <w:uiPriority w:val="0"/>
  </w:style>
  <w:style w:type="character" w:customStyle="1" w:styleId="48">
    <w:name w:val="bds_more2"/>
    <w:basedOn w:val="17"/>
    <w:qFormat/>
    <w:uiPriority w:val="0"/>
  </w:style>
  <w:style w:type="character" w:customStyle="1" w:styleId="49">
    <w:name w:val="bds_nopic"/>
    <w:basedOn w:val="17"/>
    <w:qFormat/>
    <w:uiPriority w:val="0"/>
  </w:style>
  <w:style w:type="character" w:customStyle="1" w:styleId="50">
    <w:name w:val="bds_nopic1"/>
    <w:basedOn w:val="17"/>
    <w:qFormat/>
    <w:uiPriority w:val="0"/>
  </w:style>
  <w:style w:type="character" w:customStyle="1" w:styleId="51">
    <w:name w:val="bds_nopic2"/>
    <w:basedOn w:val="17"/>
    <w:qFormat/>
    <w:uiPriority w:val="0"/>
  </w:style>
  <w:style w:type="character" w:customStyle="1" w:styleId="52">
    <w:name w:val="标题 1 字符1"/>
    <w:basedOn w:val="17"/>
    <w:qFormat/>
    <w:uiPriority w:val="9"/>
    <w:rPr>
      <w:b/>
      <w:bCs/>
      <w:kern w:val="44"/>
      <w:sz w:val="44"/>
      <w:szCs w:val="44"/>
    </w:rPr>
  </w:style>
  <w:style w:type="character" w:customStyle="1" w:styleId="53">
    <w:name w:val="未处理的提及1"/>
    <w:basedOn w:val="17"/>
    <w:semiHidden/>
    <w:unhideWhenUsed/>
    <w:qFormat/>
    <w:uiPriority w:val="99"/>
    <w:rPr>
      <w:color w:val="605E5C"/>
      <w:shd w:val="clear" w:color="auto" w:fill="E1DFDD"/>
    </w:rPr>
  </w:style>
  <w:style w:type="paragraph" w:customStyle="1" w:styleId="54">
    <w:name w:val="Revision"/>
    <w:hidden/>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22</Pages>
  <Words>5504</Words>
  <Characters>6693</Characters>
  <Lines>56</Lines>
  <Paragraphs>15</Paragraphs>
  <TotalTime>0</TotalTime>
  <ScaleCrop>false</ScaleCrop>
  <LinksUpToDate>false</LinksUpToDate>
  <CharactersWithSpaces>6991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2022-11-21T03:30:00Z</dcterms:created>
  <dc:creator>陈岚</dc:creator>
  <cp:lastModifiedBy>豆颠儿</cp:lastModifiedBy>
  <dcterms:modified xsi:type="dcterms:W3CDTF">2022-11-21T08:45:42Z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52A11955E3244D61ABBACE303F2BB8B6</vt:lpwstr>
  </property>
</Properties>
</file>