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t>项目编号：YTTH-2022-FC0288-1</w:t>
      </w:r>
    </w:p>
    <w:p>
      <w:pPr>
        <w:jc w:val="center"/>
        <w:rPr>
          <w:rFonts w:ascii="宋体" w:hAnsi="宋体" w:cs="宋体"/>
          <w:b/>
          <w:color w:val="auto"/>
          <w:sz w:val="48"/>
          <w:szCs w:val="48"/>
          <w:highlight w:val="none"/>
        </w:rPr>
      </w:pPr>
    </w:p>
    <w:p>
      <w:pPr>
        <w:pStyle w:val="2"/>
        <w:jc w:val="center"/>
        <w:rPr>
          <w:rFonts w:ascii="宋体" w:hAnsi="宋体" w:cs="宋体"/>
          <w:b/>
          <w:color w:val="auto"/>
          <w:sz w:val="48"/>
          <w:szCs w:val="48"/>
          <w:highlight w:val="none"/>
        </w:rPr>
      </w:pPr>
      <w:r>
        <w:rPr>
          <w:rFonts w:hint="eastAsia" w:ascii="宋体" w:hAnsi="宋体" w:cs="宋体"/>
          <w:b/>
          <w:color w:val="auto"/>
          <w:sz w:val="48"/>
          <w:szCs w:val="48"/>
          <w:highlight w:val="none"/>
        </w:rPr>
        <w:t>成都成粮蓉泰供应链管理有限公司</w:t>
      </w:r>
    </w:p>
    <w:p>
      <w:pPr>
        <w:pStyle w:val="2"/>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法律诉讼服务采购项目</w:t>
      </w:r>
      <w:r>
        <w:rPr>
          <w:rFonts w:hint="eastAsia" w:ascii="宋体" w:hAnsi="宋体" w:cs="宋体"/>
          <w:b/>
          <w:color w:val="auto"/>
          <w:sz w:val="48"/>
          <w:szCs w:val="48"/>
          <w:highlight w:val="none"/>
          <w:lang w:val="en-US" w:eastAsia="zh-CN"/>
        </w:rPr>
        <w:t>第二次</w:t>
      </w:r>
    </w:p>
    <w:p>
      <w:pPr>
        <w:rPr>
          <w:rFonts w:ascii="宋体" w:hAnsi="宋体" w:cs="宋体"/>
          <w:color w:val="auto"/>
          <w:highlight w:val="none"/>
        </w:rPr>
      </w:pPr>
    </w:p>
    <w:p>
      <w:pPr>
        <w:tabs>
          <w:tab w:val="left" w:pos="2505"/>
          <w:tab w:val="center" w:pos="4204"/>
        </w:tabs>
        <w:spacing w:after="160" w:line="259"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比</w:t>
      </w:r>
    </w:p>
    <w:p>
      <w:pPr>
        <w:tabs>
          <w:tab w:val="left" w:pos="2505"/>
          <w:tab w:val="center" w:pos="4204"/>
        </w:tabs>
        <w:spacing w:after="160" w:line="259"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选</w:t>
      </w:r>
    </w:p>
    <w:p>
      <w:pPr>
        <w:tabs>
          <w:tab w:val="left" w:pos="2505"/>
          <w:tab w:val="center" w:pos="4204"/>
        </w:tabs>
        <w:spacing w:after="160" w:line="259"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文</w:t>
      </w:r>
    </w:p>
    <w:p>
      <w:pPr>
        <w:tabs>
          <w:tab w:val="left" w:pos="2505"/>
          <w:tab w:val="center" w:pos="4204"/>
        </w:tabs>
        <w:spacing w:after="160" w:line="259"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件</w:t>
      </w:r>
    </w:p>
    <w:p>
      <w:pPr>
        <w:pStyle w:val="2"/>
        <w:rPr>
          <w:rFonts w:ascii="宋体" w:hAnsi="宋体" w:cs="宋体"/>
          <w:color w:val="auto"/>
          <w:highlight w:val="none"/>
        </w:rPr>
      </w:pP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中国·四川（成都）</w:t>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比选人：成都成粮蓉泰供应链管理有限公司</w:t>
      </w:r>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比选代理机构：四川易通天和招标代理有限公司</w:t>
      </w:r>
    </w:p>
    <w:p>
      <w:pPr>
        <w:pStyle w:val="2"/>
        <w:rPr>
          <w:color w:val="auto"/>
          <w:highlight w:val="none"/>
          <w:lang w:val="zh-CN"/>
        </w:rPr>
      </w:pPr>
      <w:bookmarkStart w:id="0" w:name="PO_年份小写_1"/>
    </w:p>
    <w:p>
      <w:pPr>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二O</w:t>
      </w:r>
      <w:bookmarkEnd w:id="0"/>
      <w:r>
        <w:rPr>
          <w:rFonts w:hint="eastAsia" w:ascii="宋体" w:hAnsi="宋体" w:cs="宋体"/>
          <w:b/>
          <w:bCs/>
          <w:color w:val="auto"/>
          <w:sz w:val="32"/>
          <w:szCs w:val="32"/>
          <w:highlight w:val="none"/>
          <w:lang w:val="zh-CN"/>
        </w:rPr>
        <w:t>二</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val="zh-CN"/>
        </w:rPr>
        <w:t>年</w:t>
      </w: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eastAsia="zh-CN"/>
        </w:rPr>
        <w:t>二</w:t>
      </w:r>
      <w:r>
        <w:rPr>
          <w:rFonts w:hint="eastAsia" w:ascii="宋体" w:hAnsi="宋体" w:cs="宋体"/>
          <w:b/>
          <w:bCs/>
          <w:color w:val="auto"/>
          <w:sz w:val="32"/>
          <w:szCs w:val="32"/>
          <w:highlight w:val="none"/>
          <w:lang w:val="zh-CN"/>
        </w:rPr>
        <w:t>月</w:t>
      </w:r>
    </w:p>
    <w:p>
      <w:pPr>
        <w:rPr>
          <w:rFonts w:ascii="宋体" w:hAnsi="宋体" w:cs="宋体"/>
          <w:color w:val="auto"/>
          <w:highlight w:val="none"/>
          <w:lang w:val="zh-CN"/>
        </w:rPr>
      </w:pPr>
    </w:p>
    <w:p>
      <w:pPr>
        <w:rPr>
          <w:rFonts w:ascii="宋体" w:hAnsi="宋体" w:cs="宋体"/>
          <w:b/>
          <w:bCs/>
          <w:color w:val="auto"/>
          <w:sz w:val="44"/>
          <w:szCs w:val="52"/>
          <w:highlight w:val="none"/>
        </w:rPr>
      </w:pPr>
      <w:r>
        <w:rPr>
          <w:rFonts w:hint="eastAsia" w:ascii="宋体" w:hAnsi="宋体" w:cs="宋体"/>
          <w:b/>
          <w:bCs/>
          <w:color w:val="auto"/>
          <w:sz w:val="44"/>
          <w:szCs w:val="52"/>
          <w:highlight w:val="none"/>
        </w:rPr>
        <w:br w:type="page"/>
      </w:r>
    </w:p>
    <w:p>
      <w:pPr>
        <w:rPr>
          <w:rFonts w:ascii="宋体" w:hAnsi="宋体" w:cs="宋体"/>
          <w:color w:val="auto"/>
          <w:highlight w:val="none"/>
        </w:rPr>
      </w:pPr>
    </w:p>
    <w:sdt>
      <w:sdtPr>
        <w:rPr>
          <w:rFonts w:hint="eastAsia" w:ascii="宋体" w:hAnsi="宋体" w:cs="宋体"/>
          <w:b/>
          <w:bCs/>
          <w:color w:val="auto"/>
          <w:sz w:val="48"/>
          <w:szCs w:val="48"/>
          <w:highlight w:val="none"/>
        </w:rPr>
        <w:id w:val="147454681"/>
      </w:sdtPr>
      <w:sdtEndPr>
        <w:rPr>
          <w:rFonts w:hint="eastAsia" w:ascii="宋体" w:hAnsi="宋体" w:cs="宋体"/>
          <w:b/>
          <w:bCs/>
          <w:color w:val="auto"/>
          <w:sz w:val="21"/>
          <w:szCs w:val="72"/>
          <w:highlight w:val="none"/>
        </w:rPr>
      </w:sdtEndPr>
      <w:sdtContent>
        <w:p>
          <w:pPr>
            <w:spacing w:line="360" w:lineRule="auto"/>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目录</w:t>
          </w:r>
        </w:p>
        <w:p>
          <w:pPr>
            <w:pStyle w:val="2"/>
            <w:rPr>
              <w:rFonts w:ascii="宋体" w:hAnsi="宋体" w:cs="宋体"/>
              <w:color w:val="auto"/>
              <w:highlight w:val="none"/>
            </w:rPr>
          </w:pPr>
        </w:p>
        <w:p>
          <w:pPr>
            <w:pStyle w:val="25"/>
            <w:tabs>
              <w:tab w:val="right" w:leader="dot" w:pos="8959"/>
            </w:tabs>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TOC \o "1-1" \h \u </w:instrText>
          </w:r>
          <w:r>
            <w:rPr>
              <w:rFonts w:hint="eastAsia" w:ascii="宋体" w:hAnsi="宋体" w:cs="宋体"/>
              <w:b/>
              <w:bCs/>
              <w:color w:val="auto"/>
              <w:sz w:val="24"/>
              <w:szCs w:val="24"/>
              <w:highlight w:val="none"/>
            </w:rPr>
            <w:fldChar w:fldCharType="separate"/>
          </w:r>
          <w:r>
            <w:rPr>
              <w:color w:val="auto"/>
              <w:highlight w:val="none"/>
            </w:rPr>
            <w:fldChar w:fldCharType="begin"/>
          </w:r>
          <w:r>
            <w:rPr>
              <w:color w:val="auto"/>
              <w:highlight w:val="none"/>
            </w:rPr>
            <w:instrText xml:space="preserve"> HYPERLINK \l "_Toc28620" </w:instrText>
          </w:r>
          <w:r>
            <w:rPr>
              <w:color w:val="auto"/>
              <w:highlight w:val="none"/>
            </w:rPr>
            <w:fldChar w:fldCharType="separate"/>
          </w:r>
          <w:r>
            <w:rPr>
              <w:rFonts w:hint="eastAsia" w:ascii="宋体" w:hAnsi="宋体" w:cs="宋体"/>
              <w:color w:val="auto"/>
              <w:sz w:val="24"/>
              <w:szCs w:val="24"/>
              <w:highlight w:val="none"/>
            </w:rPr>
            <w:t>第一章  比选公告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p>
        <w:p>
          <w:pPr>
            <w:pStyle w:val="25"/>
            <w:tabs>
              <w:tab w:val="right" w:leader="dot" w:pos="8959"/>
            </w:tabs>
            <w:spacing w:line="360" w:lineRule="auto"/>
            <w:jc w:val="center"/>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"_Toc29770" </w:instrText>
          </w:r>
          <w:r>
            <w:rPr>
              <w:color w:val="auto"/>
              <w:highlight w:val="none"/>
            </w:rPr>
            <w:fldChar w:fldCharType="separate"/>
          </w:r>
          <w:r>
            <w:rPr>
              <w:rFonts w:hint="eastAsia" w:ascii="宋体" w:hAnsi="宋体" w:cs="宋体"/>
              <w:color w:val="auto"/>
              <w:sz w:val="24"/>
              <w:szCs w:val="24"/>
              <w:highlight w:val="none"/>
            </w:rPr>
            <w:t>第二章  比选申请人须知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_Toc29770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5"/>
            <w:tabs>
              <w:tab w:val="right" w:leader="dot" w:pos="8959"/>
            </w:tabs>
            <w:spacing w:line="360" w:lineRule="auto"/>
            <w:jc w:val="center"/>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"_Toc1237" </w:instrText>
          </w:r>
          <w:r>
            <w:rPr>
              <w:color w:val="auto"/>
              <w:highlight w:val="none"/>
            </w:rPr>
            <w:fldChar w:fldCharType="separate"/>
          </w:r>
          <w:r>
            <w:rPr>
              <w:rFonts w:hint="eastAsia" w:ascii="宋体" w:hAnsi="宋体" w:cs="宋体"/>
              <w:color w:val="auto"/>
              <w:sz w:val="24"/>
              <w:szCs w:val="24"/>
              <w:highlight w:val="none"/>
            </w:rPr>
            <w:t>第三章  比选申请文件格式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_Toc1237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5"/>
            <w:tabs>
              <w:tab w:val="right" w:leader="dot" w:pos="8959"/>
            </w:tabs>
            <w:spacing w:line="360" w:lineRule="auto"/>
            <w:jc w:val="center"/>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"_Toc27792" </w:instrText>
          </w:r>
          <w:r>
            <w:rPr>
              <w:color w:val="auto"/>
              <w:highlight w:val="none"/>
            </w:rPr>
            <w:fldChar w:fldCharType="separate"/>
          </w:r>
          <w:r>
            <w:rPr>
              <w:rFonts w:hint="eastAsia" w:ascii="宋体" w:hAnsi="宋体" w:cs="宋体"/>
              <w:color w:val="auto"/>
              <w:sz w:val="24"/>
              <w:szCs w:val="24"/>
              <w:highlight w:val="none"/>
            </w:rPr>
            <w:t>第四章  比选申请人资格证明材料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_Toc27792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5"/>
            <w:tabs>
              <w:tab w:val="right" w:leader="dot" w:pos="8959"/>
            </w:tabs>
            <w:spacing w:line="360" w:lineRule="auto"/>
            <w:jc w:val="center"/>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"_Toc20214" </w:instrText>
          </w:r>
          <w:r>
            <w:rPr>
              <w:color w:val="auto"/>
              <w:highlight w:val="none"/>
            </w:rPr>
            <w:fldChar w:fldCharType="separate"/>
          </w:r>
          <w:r>
            <w:rPr>
              <w:rFonts w:hint="eastAsia" w:ascii="宋体" w:hAnsi="宋体" w:cs="宋体"/>
              <w:color w:val="auto"/>
              <w:sz w:val="24"/>
              <w:szCs w:val="24"/>
              <w:highlight w:val="none"/>
            </w:rPr>
            <w:t>第五章  技术、商务及其他要求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_Toc20214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5"/>
            <w:tabs>
              <w:tab w:val="right" w:leader="dot" w:pos="8959"/>
            </w:tabs>
            <w:spacing w:line="360" w:lineRule="auto"/>
            <w:jc w:val="center"/>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"_Toc27120" </w:instrText>
          </w:r>
          <w:r>
            <w:rPr>
              <w:color w:val="auto"/>
              <w:highlight w:val="none"/>
            </w:rPr>
            <w:fldChar w:fldCharType="separate"/>
          </w:r>
          <w:r>
            <w:rPr>
              <w:rFonts w:hint="eastAsia" w:ascii="宋体" w:hAnsi="宋体" w:cs="宋体"/>
              <w:color w:val="auto"/>
              <w:sz w:val="24"/>
              <w:szCs w:val="24"/>
              <w:highlight w:val="none"/>
            </w:rPr>
            <w:t>第六章  评选办法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_Toc27120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5"/>
            <w:tabs>
              <w:tab w:val="right" w:leader="dot" w:pos="8959"/>
            </w:tabs>
            <w:spacing w:line="360" w:lineRule="auto"/>
            <w:jc w:val="center"/>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"_Toc26032" </w:instrText>
          </w:r>
          <w:r>
            <w:rPr>
              <w:color w:val="auto"/>
              <w:highlight w:val="none"/>
            </w:rPr>
            <w:fldChar w:fldCharType="separate"/>
          </w:r>
          <w:r>
            <w:rPr>
              <w:rFonts w:hint="eastAsia" w:ascii="宋体" w:hAnsi="宋体" w:cs="宋体"/>
              <w:color w:val="auto"/>
              <w:sz w:val="24"/>
              <w:szCs w:val="24"/>
              <w:highlight w:val="none"/>
            </w:rPr>
            <w:t>第七章  合同条款及格式（仅供参考）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_Toc26032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
            <w:spacing w:line="360" w:lineRule="auto"/>
            <w:jc w:val="center"/>
            <w:rPr>
              <w:rFonts w:ascii="宋体" w:hAnsi="宋体" w:cs="宋体"/>
              <w:b/>
              <w:bCs/>
              <w:color w:val="auto"/>
              <w:sz w:val="52"/>
              <w:szCs w:val="72"/>
              <w:highlight w:val="none"/>
            </w:rPr>
          </w:pPr>
          <w:r>
            <w:rPr>
              <w:rFonts w:hint="eastAsia" w:ascii="宋体" w:hAnsi="宋体" w:cs="宋体"/>
              <w:bCs/>
              <w:color w:val="auto"/>
              <w:sz w:val="24"/>
              <w:highlight w:val="none"/>
            </w:rPr>
            <w:fldChar w:fldCharType="end"/>
          </w:r>
        </w:p>
      </w:sdtContent>
    </w:sdt>
    <w:p>
      <w:pPr>
        <w:jc w:val="center"/>
        <w:rPr>
          <w:rFonts w:ascii="宋体" w:hAnsi="宋体" w:cs="宋体"/>
          <w:color w:val="auto"/>
          <w:w w:val="90"/>
          <w:sz w:val="110"/>
          <w:szCs w:val="110"/>
          <w:highlight w:val="none"/>
        </w:rPr>
        <w:sectPr>
          <w:headerReference r:id="rId3" w:type="default"/>
          <w:type w:val="nextColumn"/>
          <w:pgSz w:w="11906" w:h="16838"/>
          <w:pgMar w:top="1440" w:right="1474" w:bottom="1440" w:left="1474" w:header="851" w:footer="1020" w:gutter="0"/>
          <w:pgBorders>
            <w:top w:val="none" w:sz="0" w:space="0"/>
            <w:left w:val="none" w:sz="0" w:space="0"/>
            <w:bottom w:val="none" w:sz="0" w:space="0"/>
            <w:right w:val="none" w:sz="0" w:space="0"/>
          </w:pgBorders>
          <w:cols w:space="720" w:num="1"/>
          <w:docGrid w:type="lines" w:linePitch="312" w:charSpace="0"/>
        </w:sectPr>
      </w:pPr>
      <w:bookmarkStart w:id="1" w:name="_Toc28620"/>
    </w:p>
    <w:p>
      <w:pPr>
        <w:pStyle w:val="3"/>
        <w:spacing w:line="360" w:lineRule="auto"/>
        <w:jc w:val="center"/>
        <w:rPr>
          <w:rFonts w:ascii="宋体" w:hAnsi="宋体" w:cs="宋体"/>
          <w:color w:val="auto"/>
          <w:highlight w:val="none"/>
        </w:rPr>
      </w:pPr>
      <w:r>
        <w:rPr>
          <w:rFonts w:hint="eastAsia" w:ascii="宋体" w:hAnsi="宋体" w:cs="宋体"/>
          <w:color w:val="auto"/>
          <w:highlight w:val="none"/>
        </w:rPr>
        <w:t>第一章  比选公告</w:t>
      </w:r>
      <w:bookmarkEnd w:id="1"/>
    </w:p>
    <w:p>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u w:val="single"/>
        </w:rPr>
        <w:t>四川易通天和招标代理有限公司</w:t>
      </w:r>
      <w:r>
        <w:rPr>
          <w:rFonts w:hint="eastAsia" w:ascii="宋体" w:hAnsi="宋体" w:cs="宋体"/>
          <w:color w:val="auto"/>
          <w:sz w:val="24"/>
          <w:highlight w:val="none"/>
        </w:rPr>
        <w:t>（比选代理机构）受</w:t>
      </w:r>
      <w:r>
        <w:rPr>
          <w:rFonts w:hint="eastAsia" w:ascii="宋体" w:hAnsi="宋体" w:cs="宋体"/>
          <w:color w:val="auto"/>
          <w:sz w:val="24"/>
          <w:highlight w:val="none"/>
          <w:u w:val="single"/>
        </w:rPr>
        <w:t>成都成粮蓉泰供应链管理有限公司</w:t>
      </w:r>
      <w:r>
        <w:rPr>
          <w:rFonts w:hint="eastAsia" w:ascii="宋体" w:hAnsi="宋体" w:cs="宋体"/>
          <w:color w:val="auto"/>
          <w:sz w:val="24"/>
          <w:highlight w:val="none"/>
        </w:rPr>
        <w:t>（比选人）的委托，拟对</w:t>
      </w:r>
      <w:r>
        <w:rPr>
          <w:rFonts w:hint="eastAsia" w:ascii="宋体" w:hAnsi="宋体" w:cs="宋体"/>
          <w:color w:val="auto"/>
          <w:sz w:val="24"/>
          <w:highlight w:val="none"/>
          <w:u w:val="single"/>
          <w:lang w:eastAsia="zh-CN"/>
        </w:rPr>
        <w:t>成都成粮蓉泰供应链管理有限公司法律诉讼服务采购项目第二次</w:t>
      </w:r>
      <w:r>
        <w:rPr>
          <w:rFonts w:hint="eastAsia" w:ascii="宋体" w:hAnsi="宋体" w:cs="宋体"/>
          <w:color w:val="auto"/>
          <w:sz w:val="24"/>
          <w:highlight w:val="none"/>
        </w:rPr>
        <w:t>进行比选，兹邀请符合本次比选要求的参选单位参加本项目公开比选。</w:t>
      </w:r>
    </w:p>
    <w:p>
      <w:pPr>
        <w:spacing w:line="360" w:lineRule="auto"/>
        <w:ind w:firstLine="482" w:firstLineChars="200"/>
        <w:jc w:val="left"/>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一、项目编号：YTTH-2022-FC0288</w:t>
      </w:r>
      <w:r>
        <w:rPr>
          <w:rFonts w:hint="eastAsia" w:ascii="宋体" w:hAnsi="宋体" w:cs="宋体"/>
          <w:b/>
          <w:color w:val="auto"/>
          <w:sz w:val="24"/>
          <w:highlight w:val="none"/>
          <w:lang w:val="en-US" w:eastAsia="zh-CN"/>
        </w:rPr>
        <w:t>-1</w:t>
      </w:r>
    </w:p>
    <w:p>
      <w:pPr>
        <w:pStyle w:val="2"/>
        <w:spacing w:after="0" w:line="360" w:lineRule="auto"/>
        <w:ind w:firstLine="482" w:firstLineChars="200"/>
        <w:jc w:val="left"/>
        <w:rPr>
          <w:rFonts w:hint="eastAsia" w:ascii="宋体" w:hAnsi="宋体" w:eastAsia="宋体" w:cs="宋体"/>
          <w:bCs/>
          <w:color w:val="auto"/>
          <w:sz w:val="24"/>
          <w:highlight w:val="none"/>
          <w:lang w:eastAsia="zh-CN"/>
        </w:rPr>
      </w:pPr>
      <w:r>
        <w:rPr>
          <w:rFonts w:hint="eastAsia" w:ascii="宋体" w:hAnsi="宋体" w:cs="宋体"/>
          <w:b/>
          <w:color w:val="auto"/>
          <w:sz w:val="24"/>
          <w:highlight w:val="none"/>
        </w:rPr>
        <w:t>二、项目名称：</w:t>
      </w:r>
      <w:r>
        <w:rPr>
          <w:rFonts w:hint="eastAsia" w:ascii="宋体" w:hAnsi="宋体" w:cs="宋体"/>
          <w:b/>
          <w:color w:val="auto"/>
          <w:sz w:val="24"/>
          <w:highlight w:val="none"/>
          <w:lang w:eastAsia="zh-CN"/>
        </w:rPr>
        <w:t>成都成粮蓉泰供应链管理有限公司法律诉讼服务采购项目第二次</w:t>
      </w:r>
    </w:p>
    <w:p>
      <w:pPr>
        <w:pStyle w:val="2"/>
        <w:spacing w:after="0"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三、预算金额：50万元（不含）</w:t>
      </w:r>
    </w:p>
    <w:p>
      <w:pPr>
        <w:pStyle w:val="2"/>
        <w:spacing w:after="0" w:line="360" w:lineRule="auto"/>
        <w:ind w:firstLine="482" w:firstLineChars="200"/>
        <w:jc w:val="left"/>
        <w:rPr>
          <w:rFonts w:ascii="宋体" w:hAnsi="宋体" w:cs="宋体"/>
          <w:bCs/>
          <w:color w:val="auto"/>
          <w:sz w:val="24"/>
          <w:highlight w:val="none"/>
        </w:rPr>
      </w:pPr>
      <w:r>
        <w:rPr>
          <w:rFonts w:hint="eastAsia" w:ascii="宋体" w:hAnsi="宋体" w:cs="宋体"/>
          <w:b/>
          <w:bCs/>
          <w:color w:val="auto"/>
          <w:sz w:val="24"/>
          <w:highlight w:val="none"/>
        </w:rPr>
        <w:t>四、项目简介</w:t>
      </w:r>
      <w:r>
        <w:rPr>
          <w:rFonts w:hint="eastAsia" w:ascii="宋体" w:hAnsi="宋体" w:cs="宋体"/>
          <w:bCs/>
          <w:color w:val="auto"/>
          <w:sz w:val="24"/>
          <w:highlight w:val="none"/>
        </w:rPr>
        <w:t>：本项目为</w:t>
      </w:r>
      <w:r>
        <w:rPr>
          <w:rFonts w:hint="eastAsia" w:ascii="宋体" w:hAnsi="宋体" w:cs="宋体"/>
          <w:bCs/>
          <w:color w:val="auto"/>
          <w:sz w:val="24"/>
          <w:highlight w:val="none"/>
          <w:lang w:eastAsia="zh-CN"/>
        </w:rPr>
        <w:t>成都成粮蓉泰供应链管理有限公司法律诉讼服务采购项目第二次</w:t>
      </w:r>
      <w:r>
        <w:rPr>
          <w:rFonts w:hint="eastAsia" w:ascii="宋体" w:hAnsi="宋体" w:cs="宋体"/>
          <w:bCs/>
          <w:color w:val="auto"/>
          <w:sz w:val="24"/>
          <w:highlight w:val="none"/>
        </w:rPr>
        <w:t>，共一个包，详见比选文件第五章。</w:t>
      </w:r>
    </w:p>
    <w:p>
      <w:pPr>
        <w:pStyle w:val="2"/>
        <w:spacing w:after="0" w:line="360" w:lineRule="auto"/>
        <w:ind w:firstLine="480" w:firstLineChars="200"/>
        <w:jc w:val="left"/>
        <w:rPr>
          <w:color w:val="auto"/>
          <w:highlight w:val="none"/>
        </w:rPr>
      </w:pPr>
      <w:r>
        <w:rPr>
          <w:rFonts w:hint="eastAsia" w:ascii="宋体" w:hAnsi="宋体" w:cs="宋体"/>
          <w:bCs/>
          <w:color w:val="auto"/>
          <w:sz w:val="24"/>
          <w:highlight w:val="none"/>
        </w:rPr>
        <w:t>五、</w:t>
      </w:r>
      <w:r>
        <w:rPr>
          <w:rFonts w:hint="eastAsia" w:ascii="宋体" w:hAnsi="宋体" w:cs="宋体"/>
          <w:b/>
          <w:bCs/>
          <w:color w:val="auto"/>
          <w:sz w:val="24"/>
          <w:highlight w:val="none"/>
        </w:rPr>
        <w:t>服务期限</w:t>
      </w:r>
      <w:r>
        <w:rPr>
          <w:rFonts w:hint="eastAsia" w:ascii="宋体" w:hAnsi="宋体" w:cs="宋体"/>
          <w:bCs/>
          <w:color w:val="auto"/>
          <w:sz w:val="24"/>
          <w:highlight w:val="none"/>
        </w:rPr>
        <w:t>：自合同签订之日起至执行完毕，包括但不限于刑事控告、刑事附带民事诉讼、民事诉讼、执行阶段等，其中诉讼阶段含一审、二审、</w:t>
      </w:r>
      <w:r>
        <w:rPr>
          <w:rFonts w:hint="eastAsia" w:ascii="宋体" w:hAnsi="宋体" w:cs="宋体"/>
          <w:bCs/>
          <w:color w:val="auto"/>
          <w:sz w:val="24"/>
          <w:highlight w:val="none"/>
          <w:lang w:eastAsia="zh-CN"/>
        </w:rPr>
        <w:t>再审</w:t>
      </w:r>
      <w:r>
        <w:rPr>
          <w:rFonts w:hint="eastAsia" w:ascii="宋体" w:hAnsi="宋体" w:cs="宋体"/>
          <w:bCs/>
          <w:color w:val="auto"/>
          <w:sz w:val="24"/>
          <w:highlight w:val="none"/>
        </w:rPr>
        <w:t>。服务期间为比选人提供刑事合规培训不低于2次。</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六、参选单位应具备的资格要求</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1.具有独立承担民事责任的能力；</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2.具有良好的商业信誉和健全的财务会计制度；</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3.具有履行合同所必需的设备和专业技术能力；</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4.有依法缴纳税收和社会保障资金的良好记录；</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5.参加采购活动前三年内，未受行业处罚，在经营活动中没有重大违法记录；</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6.法律、行政法规规定的其他条件。</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7.根据采购项目提出的特殊条件：</w:t>
      </w:r>
    </w:p>
    <w:p>
      <w:pPr>
        <w:pStyle w:val="2"/>
        <w:spacing w:after="0"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7.1参加本项目的比选申请人及其现任法定代表人（非法人机构则为主要负责人）不得具有行贿犯罪记录；</w:t>
      </w:r>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7.</w:t>
      </w:r>
      <w:r>
        <w:rPr>
          <w:rFonts w:hint="eastAsia" w:ascii="宋体" w:hAnsi="宋体"/>
          <w:color w:val="auto"/>
          <w:sz w:val="24"/>
          <w:highlight w:val="none"/>
        </w:rPr>
        <w:t>2以律师事务所为单位参加的，应提供经年检有效的律师事务所执业证书。</w:t>
      </w:r>
    </w:p>
    <w:p>
      <w:pPr>
        <w:pStyle w:val="2"/>
        <w:spacing w:after="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七、比选文件发售时间及地点</w:t>
      </w: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比选文件自</w:t>
      </w:r>
      <w:r>
        <w:rPr>
          <w:rFonts w:ascii="宋体" w:hAnsi="宋体" w:cs="宋体"/>
          <w:color w:val="auto"/>
          <w:sz w:val="24"/>
          <w:highlight w:val="none"/>
        </w:rPr>
        <w:t>2022年</w:t>
      </w:r>
      <w:r>
        <w:rPr>
          <w:rFonts w:hint="eastAsia" w:ascii="宋体" w:hAnsi="宋体" w:cs="宋体"/>
          <w:color w:val="auto"/>
          <w:sz w:val="24"/>
          <w:highlight w:val="none"/>
          <w:lang w:val="en-US" w:eastAsia="zh-CN"/>
        </w:rPr>
        <w:t>12</w:t>
      </w:r>
      <w:r>
        <w:rPr>
          <w:rFonts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日至</w:t>
      </w:r>
      <w:r>
        <w:rPr>
          <w:rFonts w:ascii="宋体" w:hAnsi="宋体" w:cs="宋体"/>
          <w:color w:val="auto"/>
          <w:sz w:val="24"/>
          <w:highlight w:val="none"/>
        </w:rPr>
        <w:t>2022年</w:t>
      </w:r>
      <w:r>
        <w:rPr>
          <w:rFonts w:hint="eastAsia" w:ascii="宋体" w:hAnsi="宋体" w:cs="宋体"/>
          <w:color w:val="auto"/>
          <w:sz w:val="24"/>
          <w:highlight w:val="none"/>
          <w:lang w:val="en-US" w:eastAsia="zh-CN"/>
        </w:rPr>
        <w:t>12</w:t>
      </w:r>
      <w:r>
        <w:rPr>
          <w:rFonts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s="宋体"/>
          <w:color w:val="auto"/>
          <w:sz w:val="24"/>
          <w:highlight w:val="none"/>
        </w:rPr>
        <w:t>每天上午9:00-12:00，下午13:00-17:00（北京时间，节假日除外）在四川招标采购交易服务平台（http://www.sczcw.org.cn/）上获取。本项目比选文件</w:t>
      </w:r>
      <w:r>
        <w:rPr>
          <w:rFonts w:hint="eastAsia" w:ascii="宋体" w:hAnsi="宋体" w:cs="宋体"/>
          <w:color w:val="auto"/>
          <w:sz w:val="24"/>
          <w:highlight w:val="none"/>
          <w:lang w:eastAsia="zh-CN"/>
        </w:rPr>
        <w:t>无偿</w:t>
      </w:r>
      <w:r>
        <w:rPr>
          <w:rFonts w:hint="eastAsia" w:ascii="宋体" w:hAnsi="宋体" w:cs="宋体"/>
          <w:color w:val="auto"/>
          <w:sz w:val="24"/>
          <w:highlight w:val="none"/>
        </w:rPr>
        <w:t>获取</w:t>
      </w:r>
      <w:r>
        <w:rPr>
          <w:rFonts w:hint="eastAsia" w:ascii="宋体" w:hAnsi="宋体" w:cs="宋体"/>
          <w:color w:val="auto"/>
          <w:sz w:val="24"/>
          <w:highlight w:val="none"/>
          <w:lang w:eastAsia="zh-CN"/>
        </w:rPr>
        <w:t>。</w:t>
      </w:r>
      <w:r>
        <w:rPr>
          <w:rFonts w:hint="eastAsia" w:ascii="宋体" w:hAnsi="宋体" w:cs="宋体"/>
          <w:color w:val="auto"/>
          <w:sz w:val="24"/>
          <w:highlight w:val="none"/>
        </w:rPr>
        <w:t>（本比选项目</w:t>
      </w:r>
      <w:bookmarkStart w:id="88" w:name="_GoBack"/>
      <w:bookmarkEnd w:id="88"/>
      <w:r>
        <w:rPr>
          <w:rFonts w:hint="eastAsia" w:ascii="宋体" w:hAnsi="宋体" w:cs="宋体"/>
          <w:color w:val="auto"/>
          <w:sz w:val="24"/>
          <w:highlight w:val="none"/>
        </w:rPr>
        <w:t>比选资格不能转让）。未获取比选文件并登记备案的比选申请人不得参加本项目比选。</w:t>
      </w:r>
    </w:p>
    <w:p>
      <w:pPr>
        <w:pStyle w:val="2"/>
        <w:spacing w:after="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八、递交比选申请文件的时间：</w:t>
      </w: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比选申请文件递交时间</w:t>
      </w:r>
      <w:r>
        <w:rPr>
          <w:rFonts w:hint="eastAsia" w:ascii="宋体" w:hAnsi="宋体" w:cs="宋体"/>
          <w:color w:val="auto"/>
          <w:sz w:val="24"/>
          <w:highlight w:val="none"/>
          <w:lang w:eastAsia="zh-CN"/>
        </w:rPr>
        <w:t>段：</w:t>
      </w:r>
      <w:r>
        <w:rPr>
          <w:rFonts w:ascii="宋体" w:hAnsi="宋体" w:cs="宋体"/>
          <w:color w:val="auto"/>
          <w:sz w:val="24"/>
          <w:highlight w:val="none"/>
        </w:rPr>
        <w:t>2022年</w:t>
      </w:r>
      <w:r>
        <w:rPr>
          <w:rFonts w:hint="eastAsia" w:ascii="宋体" w:hAnsi="宋体" w:cs="宋体"/>
          <w:color w:val="auto"/>
          <w:sz w:val="24"/>
          <w:highlight w:val="none"/>
          <w:lang w:val="en-US" w:eastAsia="zh-CN"/>
        </w:rPr>
        <w:t>12</w:t>
      </w:r>
      <w:r>
        <w:rPr>
          <w:rFonts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:00-</w:t>
      </w:r>
      <w:r>
        <w:rPr>
          <w:rFonts w:ascii="宋体" w:hAnsi="宋体" w:cs="宋体"/>
          <w:color w:val="auto"/>
          <w:sz w:val="24"/>
          <w:highlight w:val="none"/>
        </w:rPr>
        <w:t>14:</w:t>
      </w:r>
      <w:r>
        <w:rPr>
          <w:rFonts w:hint="eastAsia" w:ascii="宋体" w:hAnsi="宋体" w:cs="宋体"/>
          <w:color w:val="auto"/>
          <w:sz w:val="24"/>
          <w:highlight w:val="none"/>
          <w:lang w:val="en-US" w:eastAsia="zh-CN"/>
        </w:rPr>
        <w:t>0</w:t>
      </w:r>
      <w:r>
        <w:rPr>
          <w:rFonts w:ascii="宋体" w:hAnsi="宋体" w:cs="宋体"/>
          <w:color w:val="auto"/>
          <w:sz w:val="24"/>
          <w:highlight w:val="none"/>
        </w:rPr>
        <w:t>0  (北京时间)</w:t>
      </w:r>
      <w:r>
        <w:rPr>
          <w:rFonts w:hint="eastAsia" w:ascii="宋体" w:hAnsi="宋体" w:cs="宋体"/>
          <w:color w:val="auto"/>
          <w:sz w:val="24"/>
          <w:highlight w:val="none"/>
        </w:rPr>
        <w:t>。邮寄</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逾期送达或没有密封的比选申请文件不予接收</w:t>
      </w:r>
      <w:r>
        <w:rPr>
          <w:rFonts w:hint="eastAsia" w:ascii="宋体" w:hAnsi="宋体" w:cs="宋体"/>
          <w:color w:val="auto"/>
          <w:sz w:val="24"/>
          <w:highlight w:val="none"/>
          <w:lang w:eastAsia="zh-CN"/>
        </w:rPr>
        <w:t>，未在规定时间段内现场提交的，视为自动放弃比选</w:t>
      </w:r>
      <w:r>
        <w:rPr>
          <w:rFonts w:hint="eastAsia" w:ascii="宋体" w:hAnsi="宋体" w:cs="宋体"/>
          <w:color w:val="auto"/>
          <w:sz w:val="24"/>
          <w:highlight w:val="none"/>
        </w:rPr>
        <w:t>。</w:t>
      </w:r>
    </w:p>
    <w:p>
      <w:pPr>
        <w:spacing w:line="360" w:lineRule="auto"/>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九、递交比选申请文件地点：成都市高新区中和大道二段99号14栋1层4号</w:t>
      </w:r>
      <w:r>
        <w:rPr>
          <w:rFonts w:hint="eastAsia" w:ascii="宋体" w:hAnsi="宋体" w:cs="宋体"/>
          <w:bCs/>
          <w:color w:val="auto"/>
          <w:sz w:val="24"/>
          <w:highlight w:val="none"/>
        </w:rPr>
        <w:t>。</w:t>
      </w:r>
    </w:p>
    <w:p>
      <w:pPr>
        <w:spacing w:line="360" w:lineRule="auto"/>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十、比选申请文件数量：各包件一套比选申请文件（一正一副）。</w:t>
      </w:r>
    </w:p>
    <w:p>
      <w:pPr>
        <w:pStyle w:val="2"/>
        <w:wordWrap w:val="0"/>
        <w:spacing w:after="0" w:line="360" w:lineRule="auto"/>
        <w:ind w:firstLine="482" w:firstLineChars="200"/>
        <w:jc w:val="left"/>
        <w:rPr>
          <w:rFonts w:ascii="宋体" w:hAnsi="宋体" w:cs="宋体"/>
          <w:bCs/>
          <w:color w:val="auto"/>
          <w:sz w:val="24"/>
          <w:highlight w:val="none"/>
        </w:rPr>
      </w:pPr>
      <w:r>
        <w:rPr>
          <w:rFonts w:hint="eastAsia" w:ascii="宋体" w:hAnsi="宋体" w:cs="宋体"/>
          <w:b/>
          <w:color w:val="auto"/>
          <w:sz w:val="24"/>
          <w:highlight w:val="none"/>
        </w:rPr>
        <w:t>十一、</w:t>
      </w:r>
      <w:r>
        <w:rPr>
          <w:rFonts w:hint="eastAsia" w:ascii="宋体" w:hAnsi="宋体" w:cs="宋体"/>
          <w:color w:val="auto"/>
          <w:sz w:val="24"/>
          <w:highlight w:val="none"/>
        </w:rPr>
        <w:t>本次比选邀请在</w:t>
      </w:r>
      <w:r>
        <w:rPr>
          <w:rFonts w:hint="eastAsia" w:ascii="宋体" w:hAnsi="宋体" w:cs="宋体"/>
          <w:bCs/>
          <w:color w:val="auto"/>
          <w:sz w:val="24"/>
          <w:highlight w:val="none"/>
        </w:rPr>
        <w:t>四川招标采购交易服务平台（http://www.sczcw.org.cn/）和成都益民投资集团有限公司官网（http://ymtzjt.com）上以公告形式发布。</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十二、联系方式</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比 选 人：成都成粮蓉泰供应链管理有限公司</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址：中国（四川）自由贸易试验区成都高新区天府大道北段28号1栋1单元18层1号、2号</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代理机构：四川易通天和招标代理有限公司</w:t>
      </w:r>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通讯地址：成都市高新区中和大道二段99号14栋1层4号</w:t>
      </w:r>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联 系 人：胡先生</w:t>
      </w:r>
    </w:p>
    <w:p>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联系电话：028-85320556</w:t>
      </w:r>
    </w:p>
    <w:p>
      <w:pPr>
        <w:pStyle w:val="2"/>
        <w:jc w:val="right"/>
        <w:rPr>
          <w:rFonts w:ascii="宋体" w:hAnsi="宋体" w:cs="宋体"/>
          <w:color w:val="auto"/>
          <w:sz w:val="24"/>
          <w:highlight w:val="none"/>
        </w:rPr>
      </w:pPr>
    </w:p>
    <w:p>
      <w:pPr>
        <w:pStyle w:val="2"/>
        <w:jc w:val="right"/>
        <w:rPr>
          <w:rFonts w:ascii="宋体" w:hAnsi="宋体" w:cs="宋体"/>
          <w:color w:val="auto"/>
          <w:sz w:val="24"/>
          <w:highlight w:val="none"/>
        </w:rPr>
      </w:pPr>
    </w:p>
    <w:p>
      <w:pPr>
        <w:pStyle w:val="2"/>
        <w:wordWrap w:val="0"/>
        <w:jc w:val="right"/>
        <w:rPr>
          <w:rFonts w:ascii="宋体" w:hAnsi="宋体" w:cs="宋体"/>
          <w:color w:val="auto"/>
          <w:sz w:val="24"/>
          <w:highlight w:val="none"/>
        </w:rPr>
      </w:pPr>
      <w:r>
        <w:rPr>
          <w:rFonts w:hint="eastAsia" w:ascii="宋体" w:hAnsi="宋体" w:cs="宋体"/>
          <w:color w:val="auto"/>
          <w:sz w:val="24"/>
          <w:highlight w:val="none"/>
        </w:rPr>
        <w:t>2022年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w:t>
      </w:r>
    </w:p>
    <w:p>
      <w:pPr>
        <w:pStyle w:val="2"/>
        <w:rPr>
          <w:rFonts w:ascii="宋体" w:hAnsi="宋体" w:cs="宋体"/>
          <w:color w:val="auto"/>
          <w:highlight w:val="none"/>
        </w:rPr>
      </w:pPr>
      <w:r>
        <w:rPr>
          <w:rFonts w:hint="eastAsia" w:ascii="宋体" w:hAnsi="宋体" w:cs="宋体"/>
          <w:color w:val="auto"/>
          <w:highlight w:val="none"/>
        </w:rPr>
        <w:br w:type="page"/>
      </w:r>
    </w:p>
    <w:p>
      <w:pPr>
        <w:pStyle w:val="3"/>
        <w:spacing w:line="360" w:lineRule="auto"/>
        <w:jc w:val="center"/>
        <w:rPr>
          <w:rFonts w:ascii="宋体" w:hAnsi="宋体" w:cs="宋体"/>
          <w:color w:val="auto"/>
          <w:highlight w:val="none"/>
        </w:rPr>
      </w:pPr>
      <w:bookmarkStart w:id="2" w:name="_Toc21499_WPSOffice_Level1"/>
      <w:bookmarkStart w:id="3" w:name="_Toc29770"/>
      <w:bookmarkStart w:id="4" w:name="_Toc24543"/>
      <w:bookmarkStart w:id="5" w:name="_Toc23807"/>
      <w:r>
        <w:rPr>
          <w:rFonts w:hint="eastAsia" w:ascii="宋体" w:hAnsi="宋体" w:cs="宋体"/>
          <w:color w:val="auto"/>
          <w:highlight w:val="none"/>
        </w:rPr>
        <w:t>第二章  比选申请人须知</w:t>
      </w:r>
      <w:bookmarkEnd w:id="2"/>
      <w:bookmarkEnd w:id="3"/>
    </w:p>
    <w:p>
      <w:pPr>
        <w:pStyle w:val="4"/>
        <w:spacing w:line="360" w:lineRule="auto"/>
        <w:jc w:val="center"/>
        <w:rPr>
          <w:rFonts w:ascii="宋体" w:hAnsi="宋体" w:eastAsia="宋体" w:cs="宋体"/>
          <w:color w:val="auto"/>
          <w:highlight w:val="none"/>
        </w:rPr>
      </w:pPr>
      <w:bookmarkStart w:id="6" w:name="_Toc17256"/>
      <w:bookmarkStart w:id="7" w:name="_Toc12304_WPSOffice_Level2"/>
      <w:bookmarkStart w:id="8" w:name="_Toc213396760"/>
      <w:bookmarkStart w:id="9" w:name="_Toc368997244"/>
      <w:bookmarkStart w:id="10" w:name="_Toc486510880"/>
      <w:bookmarkStart w:id="11" w:name="_Toc361258135"/>
      <w:bookmarkStart w:id="12" w:name="_Toc189727030"/>
      <w:bookmarkStart w:id="13" w:name="_Toc213397010"/>
      <w:bookmarkStart w:id="14" w:name="_Toc213396946"/>
      <w:bookmarkStart w:id="15" w:name="_Toc217446032"/>
      <w:bookmarkStart w:id="16" w:name="_Toc213496268"/>
      <w:r>
        <w:rPr>
          <w:rFonts w:hint="eastAsia" w:ascii="宋体" w:hAnsi="宋体" w:eastAsia="宋体" w:cs="宋体"/>
          <w:color w:val="auto"/>
          <w:highlight w:val="none"/>
        </w:rPr>
        <w:t>一、比选申请人须知附表</w:t>
      </w:r>
      <w:bookmarkEnd w:id="6"/>
      <w:bookmarkEnd w:id="7"/>
      <w:bookmarkEnd w:id="8"/>
      <w:bookmarkEnd w:id="9"/>
      <w:bookmarkEnd w:id="10"/>
      <w:bookmarkEnd w:id="11"/>
      <w:bookmarkEnd w:id="12"/>
      <w:bookmarkEnd w:id="13"/>
      <w:bookmarkEnd w:id="14"/>
      <w:bookmarkEnd w:id="15"/>
      <w:bookmarkEnd w:id="16"/>
    </w:p>
    <w:tbl>
      <w:tblPr>
        <w:tblStyle w:val="20"/>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91"/>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b/>
                <w:color w:val="auto"/>
                <w:szCs w:val="21"/>
                <w:highlight w:val="none"/>
              </w:rPr>
            </w:pPr>
            <w:r>
              <w:rPr>
                <w:rFonts w:hint="eastAsia" w:ascii="宋体" w:hAnsi="宋体" w:eastAsia="Times New Roman" w:cs="宋体"/>
                <w:b/>
                <w:color w:val="auto"/>
                <w:szCs w:val="21"/>
                <w:highlight w:val="none"/>
              </w:rPr>
              <w:t>序号</w:t>
            </w:r>
          </w:p>
        </w:tc>
        <w:tc>
          <w:tcPr>
            <w:tcW w:w="1591" w:type="dxa"/>
            <w:vAlign w:val="center"/>
          </w:tcPr>
          <w:p>
            <w:pPr>
              <w:pStyle w:val="2"/>
              <w:jc w:val="center"/>
              <w:rPr>
                <w:rFonts w:ascii="宋体" w:hAnsi="宋体" w:eastAsia="Times New Roman" w:cs="宋体"/>
                <w:b/>
                <w:bCs/>
                <w:color w:val="auto"/>
                <w:szCs w:val="21"/>
                <w:highlight w:val="none"/>
              </w:rPr>
            </w:pPr>
            <w:r>
              <w:rPr>
                <w:rFonts w:hint="eastAsia" w:ascii="宋体" w:hAnsi="宋体" w:eastAsia="Times New Roman" w:cs="宋体"/>
                <w:b/>
                <w:bCs/>
                <w:color w:val="auto"/>
                <w:szCs w:val="21"/>
                <w:highlight w:val="none"/>
              </w:rPr>
              <w:t>条款名称</w:t>
            </w:r>
          </w:p>
        </w:tc>
        <w:tc>
          <w:tcPr>
            <w:tcW w:w="6915" w:type="dxa"/>
            <w:vAlign w:val="center"/>
          </w:tcPr>
          <w:p>
            <w:pPr>
              <w:pStyle w:val="2"/>
              <w:jc w:val="center"/>
              <w:rPr>
                <w:rFonts w:ascii="宋体" w:hAnsi="宋体" w:eastAsia="Times New Roman" w:cs="宋体"/>
                <w:b/>
                <w:bCs/>
                <w:color w:val="auto"/>
                <w:szCs w:val="21"/>
                <w:highlight w:val="none"/>
              </w:rPr>
            </w:pPr>
            <w:r>
              <w:rPr>
                <w:rFonts w:hint="eastAsia" w:ascii="宋体" w:hAnsi="宋体" w:eastAsia="Times New Roman" w:cs="宋体"/>
                <w:b/>
                <w:bCs/>
                <w:color w:val="auto"/>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w:t>
            </w:r>
          </w:p>
        </w:tc>
        <w:tc>
          <w:tcPr>
            <w:tcW w:w="1591" w:type="dxa"/>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项目预算</w:t>
            </w:r>
          </w:p>
          <w:p>
            <w:pPr>
              <w:pStyle w:val="26"/>
              <w:jc w:val="center"/>
              <w:rPr>
                <w:rFonts w:eastAsia="Times New Roman"/>
                <w:b/>
                <w:bCs/>
                <w:color w:val="auto"/>
                <w:sz w:val="21"/>
                <w:szCs w:val="21"/>
                <w:highlight w:val="none"/>
              </w:rPr>
            </w:pPr>
            <w:r>
              <w:rPr>
                <w:rFonts w:hint="eastAsia" w:eastAsia="Times New Roman"/>
                <w:color w:val="auto"/>
                <w:sz w:val="21"/>
                <w:szCs w:val="21"/>
                <w:highlight w:val="none"/>
              </w:rPr>
              <w:t>（实质性要求）</w:t>
            </w:r>
          </w:p>
        </w:tc>
        <w:tc>
          <w:tcPr>
            <w:tcW w:w="6915" w:type="dxa"/>
            <w:vAlign w:val="center"/>
          </w:tcPr>
          <w:p>
            <w:pPr>
              <w:pStyle w:val="2"/>
              <w:spacing w:after="0"/>
              <w:ind w:firstLine="420" w:firstLineChars="200"/>
              <w:rPr>
                <w:rFonts w:ascii="宋体" w:hAnsi="宋体" w:eastAsia="Times New Roman" w:cs="宋体"/>
                <w:b/>
                <w:bCs/>
                <w:color w:val="auto"/>
                <w:szCs w:val="21"/>
                <w:highlight w:val="none"/>
              </w:rPr>
            </w:pPr>
            <w:r>
              <w:rPr>
                <w:rFonts w:hint="eastAsia" w:ascii="宋体" w:hAnsi="宋体" w:eastAsia="Times New Roman" w:cs="宋体"/>
                <w:b/>
                <w:bCs/>
                <w:color w:val="auto"/>
                <w:szCs w:val="21"/>
                <w:highlight w:val="none"/>
              </w:rPr>
              <w:t>项目预算：50万元（不含）（大写：人民币伍拾万元整）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w:t>
            </w:r>
          </w:p>
        </w:tc>
        <w:tc>
          <w:tcPr>
            <w:tcW w:w="1591" w:type="dxa"/>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最高控价</w:t>
            </w:r>
          </w:p>
          <w:p>
            <w:pPr>
              <w:pStyle w:val="26"/>
              <w:jc w:val="center"/>
              <w:rPr>
                <w:rFonts w:eastAsia="Times New Roman"/>
                <w:color w:val="auto"/>
                <w:sz w:val="21"/>
                <w:szCs w:val="21"/>
                <w:highlight w:val="none"/>
              </w:rPr>
            </w:pPr>
            <w:r>
              <w:rPr>
                <w:rFonts w:hint="eastAsia" w:eastAsia="Times New Roman"/>
                <w:color w:val="auto"/>
                <w:sz w:val="21"/>
                <w:szCs w:val="21"/>
                <w:highlight w:val="none"/>
              </w:rPr>
              <w:t>（实质性要求）</w:t>
            </w:r>
          </w:p>
        </w:tc>
        <w:tc>
          <w:tcPr>
            <w:tcW w:w="6915" w:type="dxa"/>
            <w:vAlign w:val="center"/>
          </w:tcPr>
          <w:p>
            <w:pPr>
              <w:pStyle w:val="2"/>
              <w:spacing w:after="0"/>
              <w:ind w:firstLine="420" w:firstLineChars="200"/>
              <w:rPr>
                <w:rFonts w:ascii="宋体" w:hAnsi="宋体" w:eastAsia="Times New Roman" w:cs="宋体"/>
                <w:b/>
                <w:bCs/>
                <w:color w:val="auto"/>
                <w:szCs w:val="21"/>
                <w:highlight w:val="none"/>
              </w:rPr>
            </w:pPr>
            <w:r>
              <w:rPr>
                <w:rFonts w:hint="eastAsia" w:ascii="宋体" w:hAnsi="宋体" w:eastAsia="Times New Roman" w:cs="宋体"/>
                <w:b/>
                <w:bCs/>
                <w:color w:val="auto"/>
                <w:szCs w:val="21"/>
                <w:highlight w:val="none"/>
              </w:rPr>
              <w:t>最高控价：50万元（不含）（大写：人民币伍拾万元整）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3</w:t>
            </w:r>
          </w:p>
        </w:tc>
        <w:tc>
          <w:tcPr>
            <w:tcW w:w="1591" w:type="dxa"/>
            <w:vAlign w:val="center"/>
          </w:tcPr>
          <w:p>
            <w:pPr>
              <w:pStyle w:val="2"/>
              <w:spacing w:after="0"/>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低于成本价不正当竞争预防措施</w:t>
            </w:r>
          </w:p>
          <w:p>
            <w:pPr>
              <w:pStyle w:val="2"/>
              <w:spacing w:after="0"/>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（实质性要求）</w:t>
            </w:r>
          </w:p>
        </w:tc>
        <w:tc>
          <w:tcPr>
            <w:tcW w:w="6915" w:type="dxa"/>
          </w:tcPr>
          <w:p>
            <w:pPr>
              <w:pStyle w:val="26"/>
              <w:ind w:firstLine="420" w:firstLineChars="200"/>
              <w:rPr>
                <w:rFonts w:eastAsia="Times New Roman"/>
                <w:color w:val="auto"/>
                <w:sz w:val="21"/>
                <w:szCs w:val="21"/>
                <w:highlight w:val="none"/>
              </w:rPr>
            </w:pPr>
            <w:r>
              <w:rPr>
                <w:rFonts w:hint="eastAsia" w:eastAsia="Times New Roman"/>
                <w:color w:val="auto"/>
                <w:sz w:val="21"/>
                <w:szCs w:val="21"/>
                <w:highlight w:val="none"/>
              </w:rPr>
              <w:t>1.比选小组认为比选申请人的报价明显低于其他通过资格、符合性审查比选申请人的报价，有可能影响服务质量或者不能诚信履约的应当要求其在比选现场合理的时间内提供书面说明，必要时提交相关证明材料；比选申请人不能证明其报价合理性的，比选小组应当将其作为无效比选申请处理。比选申请人的书面说明材料应当按照国家财务会计制度的规定要求，逐项就比选申请人提供的服务的主营业务成本、税金及附加、销售费用、管理费用、财务费用等成本构成事项详细陈述）。</w:t>
            </w:r>
          </w:p>
          <w:p>
            <w:pPr>
              <w:pStyle w:val="26"/>
              <w:ind w:firstLine="420" w:firstLineChars="200"/>
              <w:rPr>
                <w:rFonts w:eastAsia="Times New Roman"/>
                <w:color w:val="auto"/>
                <w:sz w:val="21"/>
                <w:szCs w:val="21"/>
                <w:highlight w:val="none"/>
              </w:rPr>
            </w:pPr>
            <w:r>
              <w:rPr>
                <w:rFonts w:hint="eastAsia" w:eastAsia="Times New Roman"/>
                <w:color w:val="auto"/>
                <w:sz w:val="21"/>
                <w:szCs w:val="21"/>
                <w:highlight w:val="none"/>
              </w:rPr>
              <w:t>2.比选申请人书面说明应当签字确认且加盖公章，否则无效。书面说明的签字确认，由其法定代表人/主要负责人/本人或者其授权代表签字确认。</w:t>
            </w:r>
          </w:p>
          <w:p>
            <w:pPr>
              <w:pStyle w:val="26"/>
              <w:ind w:firstLine="420" w:firstLineChars="200"/>
              <w:rPr>
                <w:rFonts w:eastAsia="Times New Roman"/>
                <w:b/>
                <w:bCs/>
                <w:color w:val="auto"/>
                <w:sz w:val="21"/>
                <w:szCs w:val="21"/>
                <w:highlight w:val="none"/>
              </w:rPr>
            </w:pPr>
            <w:r>
              <w:rPr>
                <w:rFonts w:hint="eastAsia" w:eastAsia="Times New Roman"/>
                <w:color w:val="auto"/>
                <w:sz w:val="21"/>
                <w:szCs w:val="21"/>
                <w:highlight w:val="none"/>
              </w:rPr>
              <w:t>3.比选申请人提供书面说明后，比选小组应当结合比选项目需求、专业实际情况、比选申请人财务状况报告、与其他比选申请人比较情况等就比选申请人书面说明进行审查评价。比选申请人拒绝或者变相拒绝提供有效书面说明或者书面说明不能证明其报价合理性的或未在规定时间内递交有效书面说明书的，比选小组应当将其比选申请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4</w:t>
            </w:r>
          </w:p>
        </w:tc>
        <w:tc>
          <w:tcPr>
            <w:tcW w:w="1591" w:type="dxa"/>
            <w:vAlign w:val="center"/>
          </w:tcPr>
          <w:p>
            <w:pPr>
              <w:pStyle w:val="2"/>
              <w:spacing w:after="0"/>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比选情况公告</w:t>
            </w:r>
          </w:p>
        </w:tc>
        <w:tc>
          <w:tcPr>
            <w:tcW w:w="6915" w:type="dxa"/>
          </w:tcPr>
          <w:p>
            <w:pPr>
              <w:pStyle w:val="2"/>
              <w:spacing w:after="0"/>
              <w:ind w:firstLine="420" w:firstLineChars="200"/>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比选公告、比选结果公示等在四川招标采购交易服务平台和成都益民投资集团有限公司官网上予以刊登。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5</w:t>
            </w:r>
          </w:p>
        </w:tc>
        <w:tc>
          <w:tcPr>
            <w:tcW w:w="1591" w:type="dxa"/>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比选保证金</w:t>
            </w:r>
          </w:p>
        </w:tc>
        <w:tc>
          <w:tcPr>
            <w:tcW w:w="6915" w:type="dxa"/>
            <w:vAlign w:val="center"/>
          </w:tcPr>
          <w:p>
            <w:pPr>
              <w:pStyle w:val="2"/>
              <w:spacing w:after="0"/>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shd w:val="clear" w:color="auto" w:fill="auto"/>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6</w:t>
            </w:r>
          </w:p>
        </w:tc>
        <w:tc>
          <w:tcPr>
            <w:tcW w:w="1591" w:type="dxa"/>
            <w:shd w:val="clear" w:color="auto" w:fill="auto"/>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履约保证金</w:t>
            </w:r>
          </w:p>
        </w:tc>
        <w:tc>
          <w:tcPr>
            <w:tcW w:w="6915" w:type="dxa"/>
            <w:shd w:val="clear" w:color="auto" w:fill="auto"/>
          </w:tcPr>
          <w:p>
            <w:pPr>
              <w:pStyle w:val="2"/>
              <w:spacing w:after="0"/>
              <w:ind w:firstLine="420" w:firstLineChars="200"/>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7</w:t>
            </w:r>
          </w:p>
        </w:tc>
        <w:tc>
          <w:tcPr>
            <w:tcW w:w="1591" w:type="dxa"/>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联合体比选</w:t>
            </w:r>
          </w:p>
        </w:tc>
        <w:tc>
          <w:tcPr>
            <w:tcW w:w="6915" w:type="dxa"/>
            <w:vAlign w:val="center"/>
          </w:tcPr>
          <w:p>
            <w:pPr>
              <w:pStyle w:val="2"/>
              <w:spacing w:after="0"/>
              <w:ind w:firstLine="420" w:firstLineChars="200"/>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本项目接受联合体比选。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8</w:t>
            </w:r>
          </w:p>
        </w:tc>
        <w:tc>
          <w:tcPr>
            <w:tcW w:w="1591" w:type="dxa"/>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比选文件咨询</w:t>
            </w:r>
          </w:p>
        </w:tc>
        <w:tc>
          <w:tcPr>
            <w:tcW w:w="6915" w:type="dxa"/>
          </w:tcPr>
          <w:p>
            <w:pPr>
              <w:pStyle w:val="2"/>
              <w:spacing w:after="0"/>
              <w:ind w:firstLine="420" w:firstLineChars="200"/>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联系人：胡先生</w:t>
            </w:r>
            <w:r>
              <w:rPr>
                <w:rFonts w:hint="eastAsia" w:ascii="宋体" w:hAnsi="宋体" w:eastAsia="Times New Roman" w:cs="宋体"/>
                <w:color w:val="auto"/>
                <w:szCs w:val="21"/>
                <w:highlight w:val="none"/>
              </w:rPr>
              <w:tab/>
            </w:r>
            <w:r>
              <w:rPr>
                <w:rFonts w:hint="eastAsia" w:ascii="宋体" w:hAnsi="宋体" w:eastAsia="Times New Roman" w:cs="宋体"/>
                <w:color w:val="auto"/>
                <w:szCs w:val="21"/>
                <w:highlight w:val="none"/>
              </w:rPr>
              <w:t>联系电话：028-85320556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9</w:t>
            </w:r>
          </w:p>
        </w:tc>
        <w:tc>
          <w:tcPr>
            <w:tcW w:w="1591" w:type="dxa"/>
            <w:vAlign w:val="center"/>
          </w:tcPr>
          <w:p>
            <w:pPr>
              <w:pStyle w:val="26"/>
              <w:jc w:val="center"/>
              <w:rPr>
                <w:rFonts w:eastAsia="Times New Roman"/>
                <w:color w:val="auto"/>
                <w:sz w:val="21"/>
                <w:szCs w:val="21"/>
                <w:highlight w:val="none"/>
              </w:rPr>
            </w:pPr>
            <w:r>
              <w:rPr>
                <w:rFonts w:hint="eastAsia" w:eastAsia="Times New Roman"/>
                <w:color w:val="auto"/>
                <w:sz w:val="21"/>
                <w:szCs w:val="21"/>
                <w:highlight w:val="none"/>
              </w:rPr>
              <w:t>比选过程、结果工作咨询</w:t>
            </w:r>
          </w:p>
        </w:tc>
        <w:tc>
          <w:tcPr>
            <w:tcW w:w="6915" w:type="dxa"/>
            <w:vAlign w:val="center"/>
          </w:tcPr>
          <w:p>
            <w:pPr>
              <w:pStyle w:val="2"/>
              <w:spacing w:after="0"/>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联系人：胡先生</w:t>
            </w:r>
            <w:r>
              <w:rPr>
                <w:rFonts w:hint="eastAsia" w:ascii="宋体" w:hAnsi="宋体" w:eastAsia="Times New Roman" w:cs="宋体"/>
                <w:color w:val="auto"/>
                <w:szCs w:val="21"/>
                <w:highlight w:val="none"/>
              </w:rPr>
              <w:tab/>
            </w:r>
            <w:r>
              <w:rPr>
                <w:rFonts w:hint="eastAsia" w:ascii="宋体" w:hAnsi="宋体" w:eastAsia="Times New Roman" w:cs="宋体"/>
                <w:color w:val="auto"/>
                <w:szCs w:val="21"/>
                <w:highlight w:val="none"/>
              </w:rPr>
              <w:t>联系电话：028-85320556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10</w:t>
            </w:r>
          </w:p>
        </w:tc>
        <w:tc>
          <w:tcPr>
            <w:tcW w:w="1591" w:type="dxa"/>
            <w:vAlign w:val="center"/>
          </w:tcPr>
          <w:p>
            <w:pPr>
              <w:pStyle w:val="27"/>
              <w:jc w:val="center"/>
              <w:rPr>
                <w:rFonts w:eastAsia="Times New Roman"/>
                <w:color w:val="auto"/>
                <w:sz w:val="21"/>
                <w:szCs w:val="21"/>
                <w:highlight w:val="none"/>
              </w:rPr>
            </w:pPr>
            <w:r>
              <w:rPr>
                <w:rFonts w:hint="eastAsia" w:eastAsia="Times New Roman"/>
                <w:color w:val="auto"/>
                <w:kern w:val="2"/>
                <w:sz w:val="21"/>
                <w:szCs w:val="21"/>
                <w:highlight w:val="none"/>
              </w:rPr>
              <w:t>比选申请人询问</w:t>
            </w:r>
          </w:p>
        </w:tc>
        <w:tc>
          <w:tcPr>
            <w:tcW w:w="6915" w:type="dxa"/>
          </w:tcPr>
          <w:p>
            <w:pPr>
              <w:pStyle w:val="27"/>
              <w:ind w:firstLine="420" w:firstLineChars="200"/>
              <w:jc w:val="left"/>
              <w:rPr>
                <w:rFonts w:eastAsia="Times New Roman"/>
                <w:color w:val="auto"/>
                <w:sz w:val="21"/>
                <w:szCs w:val="21"/>
                <w:highlight w:val="none"/>
              </w:rPr>
            </w:pPr>
            <w:r>
              <w:rPr>
                <w:rFonts w:hint="eastAsia" w:eastAsia="Times New Roman"/>
                <w:color w:val="auto"/>
                <w:kern w:val="2"/>
                <w:sz w:val="21"/>
                <w:szCs w:val="21"/>
                <w:highlight w:val="none"/>
              </w:rPr>
              <w:t>根据委托代理协议约定，比选申请人询问由四川易通天和招标代理有限公司负责答复。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11</w:t>
            </w:r>
          </w:p>
        </w:tc>
        <w:tc>
          <w:tcPr>
            <w:tcW w:w="1591" w:type="dxa"/>
            <w:vAlign w:val="center"/>
          </w:tcPr>
          <w:p>
            <w:pPr>
              <w:pStyle w:val="27"/>
              <w:jc w:val="center"/>
              <w:rPr>
                <w:rFonts w:eastAsia="Times New Roman"/>
                <w:color w:val="auto"/>
                <w:sz w:val="21"/>
                <w:szCs w:val="21"/>
                <w:highlight w:val="none"/>
              </w:rPr>
            </w:pPr>
            <w:r>
              <w:rPr>
                <w:rFonts w:hint="eastAsia" w:eastAsia="Times New Roman"/>
                <w:color w:val="auto"/>
                <w:kern w:val="2"/>
                <w:sz w:val="21"/>
                <w:szCs w:val="21"/>
                <w:highlight w:val="none"/>
              </w:rPr>
              <w:t>比选申请人质疑</w:t>
            </w:r>
          </w:p>
        </w:tc>
        <w:tc>
          <w:tcPr>
            <w:tcW w:w="6915" w:type="dxa"/>
            <w:vAlign w:val="center"/>
          </w:tcPr>
          <w:p>
            <w:pPr>
              <w:ind w:firstLine="420" w:firstLineChars="200"/>
              <w:jc w:val="left"/>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根据委托代理协议约定，对比选文件的质疑由四川易通天和招标代理有限公司负责答复；对比选过程的质疑由四川易通天和招标代理有限公司负责答复；对比选结果的质疑由四川易通天和招标代理有限公司负责答复。</w:t>
            </w:r>
          </w:p>
          <w:p>
            <w:pPr>
              <w:pStyle w:val="27"/>
              <w:ind w:firstLine="420" w:firstLineChars="200"/>
              <w:jc w:val="left"/>
              <w:rPr>
                <w:rFonts w:eastAsia="Times New Roman"/>
                <w:color w:val="auto"/>
                <w:sz w:val="21"/>
                <w:szCs w:val="21"/>
                <w:highlight w:val="none"/>
              </w:rPr>
            </w:pPr>
            <w:r>
              <w:rPr>
                <w:rFonts w:hint="eastAsia" w:eastAsia="Times New Roman"/>
                <w:color w:val="auto"/>
                <w:kern w:val="2"/>
                <w:sz w:val="21"/>
                <w:szCs w:val="21"/>
                <w:highlight w:val="none"/>
              </w:rPr>
              <w:t>联系电话：028-85320556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12</w:t>
            </w:r>
          </w:p>
        </w:tc>
        <w:tc>
          <w:tcPr>
            <w:tcW w:w="1591" w:type="dxa"/>
            <w:vAlign w:val="center"/>
          </w:tcPr>
          <w:p>
            <w:pPr>
              <w:pStyle w:val="27"/>
              <w:jc w:val="center"/>
              <w:rPr>
                <w:rFonts w:eastAsia="Times New Roman"/>
                <w:color w:val="auto"/>
                <w:sz w:val="21"/>
                <w:szCs w:val="21"/>
                <w:highlight w:val="none"/>
              </w:rPr>
            </w:pPr>
            <w:r>
              <w:rPr>
                <w:rFonts w:hint="eastAsia" w:eastAsia="Times New Roman"/>
                <w:color w:val="auto"/>
                <w:kern w:val="2"/>
                <w:sz w:val="21"/>
                <w:szCs w:val="21"/>
                <w:highlight w:val="none"/>
              </w:rPr>
              <w:t>中选通知书领取</w:t>
            </w:r>
          </w:p>
        </w:tc>
        <w:tc>
          <w:tcPr>
            <w:tcW w:w="6915" w:type="dxa"/>
            <w:vAlign w:val="center"/>
          </w:tcPr>
          <w:p>
            <w:pPr>
              <w:pStyle w:val="27"/>
              <w:ind w:firstLine="420" w:firstLineChars="200"/>
              <w:jc w:val="left"/>
              <w:rPr>
                <w:rFonts w:eastAsia="Times New Roman"/>
                <w:color w:val="auto"/>
                <w:kern w:val="2"/>
                <w:sz w:val="21"/>
                <w:szCs w:val="21"/>
                <w:highlight w:val="none"/>
              </w:rPr>
            </w:pPr>
            <w:r>
              <w:rPr>
                <w:rFonts w:hint="eastAsia" w:eastAsia="Times New Roman"/>
                <w:color w:val="auto"/>
                <w:kern w:val="2"/>
                <w:sz w:val="21"/>
                <w:szCs w:val="21"/>
                <w:highlight w:val="none"/>
              </w:rPr>
              <w:t>比选结果公告在四川招标采购交易服务平台和成都益民投资集团有限公司官网上发布后，请中选单位凭有效身份证明证件到四川易通天和招标代理有限公司领取中选通知书。</w:t>
            </w:r>
          </w:p>
          <w:p>
            <w:pPr>
              <w:pStyle w:val="27"/>
              <w:ind w:firstLine="420" w:firstLineChars="200"/>
              <w:jc w:val="left"/>
              <w:rPr>
                <w:rFonts w:eastAsia="Times New Roman"/>
                <w:color w:val="auto"/>
                <w:kern w:val="2"/>
                <w:sz w:val="21"/>
                <w:szCs w:val="21"/>
                <w:highlight w:val="none"/>
              </w:rPr>
            </w:pPr>
            <w:r>
              <w:rPr>
                <w:rFonts w:hint="eastAsia" w:eastAsia="Times New Roman"/>
                <w:color w:val="auto"/>
                <w:kern w:val="2"/>
                <w:sz w:val="21"/>
                <w:szCs w:val="21"/>
                <w:highlight w:val="none"/>
              </w:rPr>
              <w:t>联系电话：028-85320556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13</w:t>
            </w:r>
          </w:p>
        </w:tc>
        <w:tc>
          <w:tcPr>
            <w:tcW w:w="1591" w:type="dxa"/>
            <w:vAlign w:val="center"/>
          </w:tcPr>
          <w:p>
            <w:pPr>
              <w:pStyle w:val="27"/>
              <w:jc w:val="center"/>
              <w:rPr>
                <w:rFonts w:eastAsia="Times New Roman"/>
                <w:color w:val="auto"/>
                <w:kern w:val="2"/>
                <w:sz w:val="21"/>
                <w:szCs w:val="21"/>
                <w:highlight w:val="none"/>
              </w:rPr>
            </w:pPr>
            <w:r>
              <w:rPr>
                <w:rFonts w:hint="eastAsia" w:eastAsia="Times New Roman"/>
                <w:color w:val="auto"/>
                <w:kern w:val="2"/>
                <w:sz w:val="21"/>
                <w:szCs w:val="21"/>
                <w:highlight w:val="none"/>
              </w:rPr>
              <w:t>比选申请文件数量</w:t>
            </w:r>
          </w:p>
        </w:tc>
        <w:tc>
          <w:tcPr>
            <w:tcW w:w="6915" w:type="dxa"/>
            <w:vAlign w:val="center"/>
          </w:tcPr>
          <w:p>
            <w:pPr>
              <w:pStyle w:val="27"/>
              <w:ind w:firstLine="420" w:firstLineChars="200"/>
              <w:jc w:val="left"/>
              <w:rPr>
                <w:rFonts w:eastAsia="Times New Roman"/>
                <w:color w:val="auto"/>
                <w:kern w:val="2"/>
                <w:sz w:val="21"/>
                <w:szCs w:val="21"/>
                <w:highlight w:val="none"/>
              </w:rPr>
            </w:pPr>
            <w:r>
              <w:rPr>
                <w:rFonts w:hint="eastAsia" w:eastAsia="Times New Roman"/>
                <w:b/>
                <w:bCs/>
                <w:color w:val="auto"/>
                <w:kern w:val="2"/>
                <w:sz w:val="21"/>
                <w:szCs w:val="21"/>
                <w:highlight w:val="none"/>
              </w:rPr>
              <w:t>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14</w:t>
            </w:r>
          </w:p>
        </w:tc>
        <w:tc>
          <w:tcPr>
            <w:tcW w:w="1591" w:type="dxa"/>
            <w:vAlign w:val="center"/>
          </w:tcPr>
          <w:p>
            <w:pPr>
              <w:pStyle w:val="27"/>
              <w:jc w:val="center"/>
              <w:rPr>
                <w:rFonts w:eastAsia="Times New Roman"/>
                <w:color w:val="auto"/>
                <w:kern w:val="2"/>
                <w:sz w:val="21"/>
                <w:szCs w:val="21"/>
                <w:highlight w:val="none"/>
              </w:rPr>
            </w:pPr>
            <w:r>
              <w:rPr>
                <w:rFonts w:hint="eastAsia" w:eastAsia="Times New Roman"/>
                <w:color w:val="auto"/>
                <w:kern w:val="2"/>
                <w:sz w:val="21"/>
                <w:szCs w:val="21"/>
                <w:highlight w:val="none"/>
              </w:rPr>
              <w:t>代理服务费</w:t>
            </w:r>
          </w:p>
        </w:tc>
        <w:tc>
          <w:tcPr>
            <w:tcW w:w="6915" w:type="dxa"/>
            <w:vAlign w:val="center"/>
          </w:tcPr>
          <w:p>
            <w:pPr>
              <w:pStyle w:val="27"/>
              <w:ind w:firstLine="420" w:firstLineChars="200"/>
              <w:jc w:val="left"/>
              <w:rPr>
                <w:rFonts w:eastAsia="Times New Roman"/>
                <w:color w:val="auto"/>
                <w:kern w:val="2"/>
                <w:sz w:val="21"/>
                <w:szCs w:val="21"/>
                <w:highlight w:val="none"/>
              </w:rPr>
            </w:pPr>
            <w:r>
              <w:rPr>
                <w:rFonts w:hint="eastAsia" w:eastAsia="Times New Roman"/>
                <w:bCs/>
                <w:color w:val="auto"/>
                <w:kern w:val="2"/>
                <w:sz w:val="21"/>
                <w:szCs w:val="21"/>
                <w:highlight w:val="none"/>
              </w:rPr>
              <w:t>代理服务费参照原国家计委计价格[2002]1980号及发改办价格[2003]857号通知规定，按定额3000元收取。收取方式为在中选通知书发出时，由中选人支付给代理机构。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center"/>
          </w:tcPr>
          <w:p>
            <w:pPr>
              <w:pStyle w:val="2"/>
              <w:jc w:val="center"/>
              <w:rPr>
                <w:rFonts w:hint="default" w:ascii="宋体" w:hAnsi="宋体" w:eastAsia="宋体" w:cs="宋体"/>
                <w:color w:val="auto"/>
                <w:szCs w:val="21"/>
                <w:highlight w:val="none"/>
                <w:lang w:val="en-US" w:eastAsia="zh-CN"/>
              </w:rPr>
            </w:pPr>
            <w:bookmarkStart w:id="17" w:name="_Toc27536_WPSOffice_Level2"/>
            <w:r>
              <w:rPr>
                <w:rFonts w:hint="eastAsia" w:ascii="宋体" w:hAnsi="宋体" w:cs="宋体"/>
                <w:color w:val="auto"/>
                <w:szCs w:val="21"/>
                <w:highlight w:val="none"/>
                <w:lang w:val="en-US" w:eastAsia="zh-CN"/>
              </w:rPr>
              <w:t>15</w:t>
            </w:r>
          </w:p>
        </w:tc>
        <w:tc>
          <w:tcPr>
            <w:tcW w:w="1591" w:type="dxa"/>
            <w:vAlign w:val="center"/>
          </w:tcPr>
          <w:p>
            <w:pPr>
              <w:pStyle w:val="27"/>
              <w:jc w:val="center"/>
              <w:rPr>
                <w:rFonts w:hint="default" w:eastAsia="宋体"/>
                <w:color w:val="auto"/>
                <w:kern w:val="2"/>
                <w:sz w:val="21"/>
                <w:szCs w:val="21"/>
                <w:highlight w:val="none"/>
                <w:lang w:val="en-US" w:eastAsia="zh-CN"/>
              </w:rPr>
            </w:pPr>
            <w:r>
              <w:rPr>
                <w:rFonts w:hint="eastAsia"/>
                <w:color w:val="auto"/>
                <w:kern w:val="2"/>
                <w:sz w:val="21"/>
                <w:szCs w:val="21"/>
                <w:highlight w:val="none"/>
                <w:lang w:val="en-US" w:eastAsia="zh-CN"/>
              </w:rPr>
              <w:t>现场阅卷</w:t>
            </w:r>
          </w:p>
        </w:tc>
        <w:tc>
          <w:tcPr>
            <w:tcW w:w="6915" w:type="dxa"/>
            <w:vAlign w:val="center"/>
          </w:tcPr>
          <w:p>
            <w:pPr>
              <w:pStyle w:val="27"/>
              <w:ind w:firstLine="420" w:firstLineChars="200"/>
              <w:jc w:val="left"/>
              <w:rPr>
                <w:rFonts w:hint="eastAsia" w:eastAsia="宋体"/>
                <w:bCs/>
                <w:color w:val="auto"/>
                <w:kern w:val="2"/>
                <w:sz w:val="21"/>
                <w:szCs w:val="21"/>
                <w:highlight w:val="none"/>
                <w:lang w:eastAsia="zh-CN"/>
              </w:rPr>
            </w:pPr>
            <w:r>
              <w:rPr>
                <w:rFonts w:hint="eastAsia" w:eastAsia="宋体"/>
                <w:bCs/>
                <w:color w:val="auto"/>
                <w:kern w:val="2"/>
                <w:sz w:val="21"/>
                <w:szCs w:val="21"/>
                <w:highlight w:val="none"/>
                <w:lang w:eastAsia="zh-CN"/>
              </w:rPr>
              <w:t>1.因</w:t>
            </w:r>
            <w:r>
              <w:rPr>
                <w:rFonts w:hint="eastAsia"/>
                <w:bCs/>
                <w:color w:val="auto"/>
                <w:kern w:val="2"/>
                <w:sz w:val="21"/>
                <w:szCs w:val="21"/>
                <w:highlight w:val="none"/>
                <w:lang w:val="en-US" w:eastAsia="zh-CN"/>
              </w:rPr>
              <w:t>项目性质特殊，特组织</w:t>
            </w:r>
            <w:r>
              <w:rPr>
                <w:rFonts w:hint="eastAsia"/>
                <w:bCs/>
                <w:color w:val="auto"/>
                <w:kern w:val="2"/>
                <w:sz w:val="21"/>
                <w:szCs w:val="21"/>
                <w:highlight w:val="none"/>
              </w:rPr>
              <w:t>现场阅卷</w:t>
            </w:r>
            <w:r>
              <w:rPr>
                <w:rFonts w:hint="eastAsia" w:eastAsia="宋体"/>
                <w:bCs/>
                <w:color w:val="auto"/>
                <w:kern w:val="2"/>
                <w:sz w:val="21"/>
                <w:szCs w:val="21"/>
                <w:highlight w:val="none"/>
                <w:lang w:eastAsia="zh-CN"/>
              </w:rPr>
              <w:t>。</w:t>
            </w:r>
          </w:p>
          <w:p>
            <w:pPr>
              <w:pStyle w:val="27"/>
              <w:ind w:firstLine="420" w:firstLineChars="200"/>
              <w:jc w:val="left"/>
              <w:rPr>
                <w:rFonts w:hint="eastAsia" w:eastAsia="宋体"/>
                <w:bCs/>
                <w:color w:val="auto"/>
                <w:kern w:val="2"/>
                <w:sz w:val="21"/>
                <w:szCs w:val="21"/>
                <w:highlight w:val="none"/>
                <w:lang w:eastAsia="zh-CN"/>
              </w:rPr>
            </w:pPr>
            <w:r>
              <w:rPr>
                <w:rFonts w:hint="eastAsia" w:eastAsia="宋体"/>
                <w:bCs/>
                <w:color w:val="auto"/>
                <w:kern w:val="2"/>
                <w:sz w:val="21"/>
                <w:szCs w:val="21"/>
                <w:highlight w:val="none"/>
                <w:lang w:eastAsia="zh-CN"/>
              </w:rPr>
              <w:t>2.</w:t>
            </w:r>
            <w:r>
              <w:rPr>
                <w:rFonts w:hint="eastAsia"/>
                <w:bCs/>
                <w:color w:val="auto"/>
                <w:kern w:val="2"/>
                <w:sz w:val="21"/>
                <w:szCs w:val="21"/>
                <w:highlight w:val="none"/>
                <w:lang w:eastAsia="zh-CN"/>
              </w:rPr>
              <w:t>阅卷</w:t>
            </w:r>
            <w:r>
              <w:rPr>
                <w:rFonts w:hint="eastAsia" w:eastAsia="宋体"/>
                <w:bCs/>
                <w:color w:val="auto"/>
                <w:kern w:val="2"/>
                <w:sz w:val="21"/>
                <w:szCs w:val="21"/>
                <w:highlight w:val="none"/>
                <w:lang w:eastAsia="zh-CN"/>
              </w:rPr>
              <w:t>地点∶</w:t>
            </w:r>
            <w:r>
              <w:rPr>
                <w:rFonts w:hint="eastAsia"/>
                <w:bCs/>
                <w:color w:val="auto"/>
                <w:kern w:val="2"/>
                <w:sz w:val="21"/>
                <w:szCs w:val="21"/>
                <w:highlight w:val="none"/>
              </w:rPr>
              <w:t>成都市高新区中和大道二段99号14栋1层4号</w:t>
            </w:r>
          </w:p>
          <w:p>
            <w:pPr>
              <w:pStyle w:val="27"/>
              <w:ind w:firstLine="420" w:firstLineChars="200"/>
              <w:jc w:val="left"/>
              <w:rPr>
                <w:rFonts w:hint="default"/>
                <w:bCs/>
                <w:color w:val="auto"/>
                <w:kern w:val="2"/>
                <w:sz w:val="21"/>
                <w:szCs w:val="21"/>
                <w:highlight w:val="none"/>
                <w:lang w:val="en-US" w:eastAsia="zh-CN"/>
              </w:rPr>
            </w:pPr>
            <w:r>
              <w:rPr>
                <w:rFonts w:hint="eastAsia" w:eastAsia="宋体"/>
                <w:bCs/>
                <w:color w:val="auto"/>
                <w:kern w:val="2"/>
                <w:sz w:val="21"/>
                <w:szCs w:val="21"/>
                <w:highlight w:val="none"/>
                <w:lang w:eastAsia="zh-CN"/>
              </w:rPr>
              <w:t>3.</w:t>
            </w:r>
            <w:r>
              <w:rPr>
                <w:rFonts w:hint="eastAsia"/>
                <w:bCs/>
                <w:color w:val="auto"/>
                <w:kern w:val="2"/>
                <w:sz w:val="21"/>
                <w:szCs w:val="21"/>
                <w:highlight w:val="none"/>
                <w:lang w:eastAsia="zh-CN"/>
              </w:rPr>
              <w:t>阅卷</w:t>
            </w:r>
            <w:r>
              <w:rPr>
                <w:rFonts w:hint="eastAsia" w:eastAsia="宋体"/>
                <w:bCs/>
                <w:color w:val="auto"/>
                <w:kern w:val="2"/>
                <w:sz w:val="21"/>
                <w:szCs w:val="21"/>
                <w:highlight w:val="none"/>
                <w:lang w:eastAsia="zh-CN"/>
              </w:rPr>
              <w:t>时间</w:t>
            </w:r>
            <w:r>
              <w:rPr>
                <w:rFonts w:hint="eastAsia"/>
                <w:bCs/>
                <w:color w:val="auto"/>
                <w:kern w:val="2"/>
                <w:sz w:val="21"/>
                <w:szCs w:val="21"/>
                <w:highlight w:val="none"/>
                <w:lang w:eastAsia="zh-CN"/>
              </w:rPr>
              <w:t>：</w:t>
            </w:r>
            <w:r>
              <w:rPr>
                <w:rFonts w:hint="eastAsia" w:eastAsia="宋体"/>
                <w:bCs/>
                <w:color w:val="auto"/>
                <w:kern w:val="2"/>
                <w:sz w:val="21"/>
                <w:szCs w:val="21"/>
                <w:highlight w:val="none"/>
                <w:lang w:eastAsia="zh-CN"/>
              </w:rPr>
              <w:t>2022年</w:t>
            </w:r>
            <w:r>
              <w:rPr>
                <w:rFonts w:hint="eastAsia"/>
                <w:bCs/>
                <w:color w:val="auto"/>
                <w:kern w:val="2"/>
                <w:sz w:val="21"/>
                <w:szCs w:val="21"/>
                <w:highlight w:val="none"/>
                <w:lang w:val="en-US" w:eastAsia="zh-CN"/>
              </w:rPr>
              <w:t xml:space="preserve">12 </w:t>
            </w:r>
            <w:r>
              <w:rPr>
                <w:rFonts w:hint="eastAsia" w:eastAsia="宋体"/>
                <w:bCs/>
                <w:color w:val="auto"/>
                <w:kern w:val="2"/>
                <w:sz w:val="21"/>
                <w:szCs w:val="21"/>
                <w:highlight w:val="none"/>
                <w:lang w:eastAsia="zh-CN"/>
              </w:rPr>
              <w:t>月</w:t>
            </w:r>
            <w:r>
              <w:rPr>
                <w:rFonts w:hint="eastAsia"/>
                <w:bCs/>
                <w:color w:val="auto"/>
                <w:kern w:val="2"/>
                <w:sz w:val="21"/>
                <w:szCs w:val="21"/>
                <w:highlight w:val="none"/>
                <w:lang w:val="en-US" w:eastAsia="zh-CN"/>
              </w:rPr>
              <w:t>13</w:t>
            </w:r>
            <w:r>
              <w:rPr>
                <w:rFonts w:hint="eastAsia" w:eastAsia="宋体"/>
                <w:bCs/>
                <w:color w:val="auto"/>
                <w:kern w:val="2"/>
                <w:sz w:val="21"/>
                <w:szCs w:val="21"/>
                <w:highlight w:val="none"/>
                <w:lang w:eastAsia="zh-CN"/>
              </w:rPr>
              <w:t>日</w:t>
            </w:r>
            <w:r>
              <w:rPr>
                <w:rFonts w:hint="eastAsia"/>
                <w:bCs/>
                <w:color w:val="auto"/>
                <w:kern w:val="2"/>
                <w:sz w:val="21"/>
                <w:szCs w:val="21"/>
                <w:highlight w:val="none"/>
                <w:lang w:eastAsia="zh-CN"/>
              </w:rPr>
              <w:t>、</w:t>
            </w:r>
            <w:r>
              <w:rPr>
                <w:rFonts w:hint="eastAsia"/>
                <w:bCs/>
                <w:color w:val="auto"/>
                <w:kern w:val="2"/>
                <w:sz w:val="21"/>
                <w:szCs w:val="21"/>
                <w:highlight w:val="none"/>
                <w:lang w:val="en-US" w:eastAsia="zh-CN"/>
              </w:rPr>
              <w:t>14日：</w:t>
            </w:r>
            <w:r>
              <w:rPr>
                <w:rFonts w:hint="eastAsia"/>
                <w:bCs/>
                <w:color w:val="auto"/>
                <w:kern w:val="2"/>
                <w:sz w:val="21"/>
                <w:szCs w:val="21"/>
                <w:highlight w:val="none"/>
                <w:lang w:eastAsia="zh-CN"/>
              </w:rPr>
              <w:t>上午</w:t>
            </w:r>
            <w:r>
              <w:rPr>
                <w:rFonts w:hint="eastAsia"/>
                <w:bCs/>
                <w:color w:val="auto"/>
                <w:kern w:val="2"/>
                <w:sz w:val="21"/>
                <w:szCs w:val="21"/>
                <w:highlight w:val="none"/>
                <w:lang w:val="en-US" w:eastAsia="zh-CN"/>
              </w:rPr>
              <w:t>8:30-12:00，下午13:00-18:00</w:t>
            </w:r>
          </w:p>
          <w:p>
            <w:pPr>
              <w:pStyle w:val="27"/>
              <w:ind w:firstLine="420" w:firstLineChars="200"/>
              <w:jc w:val="left"/>
              <w:rPr>
                <w:rFonts w:hint="default"/>
                <w:bCs/>
                <w:color w:val="auto"/>
                <w:kern w:val="2"/>
                <w:sz w:val="21"/>
                <w:szCs w:val="21"/>
                <w:highlight w:val="none"/>
                <w:lang w:val="en-US" w:eastAsia="zh-CN"/>
              </w:rPr>
            </w:pPr>
            <w:r>
              <w:rPr>
                <w:rFonts w:hint="eastAsia"/>
                <w:bCs/>
                <w:color w:val="auto"/>
                <w:kern w:val="2"/>
                <w:sz w:val="21"/>
                <w:szCs w:val="21"/>
                <w:highlight w:val="none"/>
                <w:lang w:val="en-US" w:eastAsia="zh-CN"/>
              </w:rPr>
              <w:t>4.阅卷要求：当日8：30分正式开始，阅卷人签署保密承诺书后，按签到时间先到先阅，至18:00结束。</w:t>
            </w:r>
          </w:p>
          <w:p>
            <w:pPr>
              <w:pStyle w:val="27"/>
              <w:ind w:firstLine="420" w:firstLineChars="200"/>
              <w:jc w:val="left"/>
              <w:rPr>
                <w:rFonts w:hint="default"/>
                <w:bCs/>
                <w:color w:val="auto"/>
                <w:kern w:val="2"/>
                <w:sz w:val="21"/>
                <w:szCs w:val="21"/>
                <w:highlight w:val="none"/>
                <w:lang w:val="en-US" w:eastAsia="zh-CN"/>
              </w:rPr>
            </w:pPr>
            <w:r>
              <w:rPr>
                <w:rFonts w:hint="eastAsia"/>
                <w:bCs/>
                <w:color w:val="auto"/>
                <w:kern w:val="2"/>
                <w:sz w:val="21"/>
                <w:szCs w:val="21"/>
                <w:highlight w:val="none"/>
                <w:lang w:val="en-US" w:eastAsia="zh-CN"/>
              </w:rPr>
              <w:t>5</w:t>
            </w:r>
            <w:r>
              <w:rPr>
                <w:rFonts w:hint="eastAsia" w:eastAsia="宋体"/>
                <w:bCs/>
                <w:color w:val="auto"/>
                <w:kern w:val="2"/>
                <w:sz w:val="21"/>
                <w:szCs w:val="21"/>
                <w:highlight w:val="none"/>
                <w:lang w:eastAsia="zh-CN"/>
              </w:rPr>
              <w:t>.联系人</w:t>
            </w:r>
            <w:r>
              <w:rPr>
                <w:rFonts w:hint="eastAsia"/>
                <w:bCs/>
                <w:color w:val="auto"/>
                <w:kern w:val="2"/>
                <w:sz w:val="21"/>
                <w:szCs w:val="21"/>
                <w:highlight w:val="none"/>
                <w:lang w:eastAsia="zh-CN"/>
              </w:rPr>
              <w:t>：</w:t>
            </w:r>
            <w:r>
              <w:rPr>
                <w:rFonts w:hint="eastAsia"/>
                <w:bCs/>
                <w:color w:val="auto"/>
                <w:kern w:val="2"/>
                <w:sz w:val="21"/>
                <w:szCs w:val="21"/>
                <w:highlight w:val="none"/>
                <w:lang w:val="en-US" w:eastAsia="zh-CN"/>
              </w:rPr>
              <w:t xml:space="preserve">胡先生  </w:t>
            </w:r>
            <w:r>
              <w:rPr>
                <w:rFonts w:hint="eastAsia" w:eastAsia="宋体"/>
                <w:bCs/>
                <w:color w:val="auto"/>
                <w:kern w:val="2"/>
                <w:sz w:val="21"/>
                <w:szCs w:val="21"/>
                <w:highlight w:val="none"/>
                <w:lang w:eastAsia="zh-CN"/>
              </w:rPr>
              <w:t>联系方式</w:t>
            </w:r>
            <w:r>
              <w:rPr>
                <w:rFonts w:hint="eastAsia"/>
                <w:bCs/>
                <w:color w:val="auto"/>
                <w:kern w:val="2"/>
                <w:sz w:val="21"/>
                <w:szCs w:val="21"/>
                <w:highlight w:val="none"/>
                <w:lang w:eastAsia="zh-CN"/>
              </w:rPr>
              <w:t>：</w:t>
            </w:r>
            <w:r>
              <w:rPr>
                <w:rFonts w:hint="eastAsia"/>
                <w:bCs/>
                <w:color w:val="auto"/>
                <w:kern w:val="2"/>
                <w:sz w:val="21"/>
                <w:szCs w:val="21"/>
                <w:highlight w:val="none"/>
                <w:lang w:val="en-US" w:eastAsia="zh-CN"/>
              </w:rPr>
              <w:t>15760350771</w:t>
            </w:r>
          </w:p>
        </w:tc>
      </w:tr>
    </w:tbl>
    <w:p>
      <w:pPr>
        <w:pStyle w:val="4"/>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二、总则</w:t>
      </w:r>
      <w:bookmarkEnd w:id="17"/>
    </w:p>
    <w:p>
      <w:pPr>
        <w:pStyle w:val="28"/>
        <w:spacing w:before="0" w:beforeAutospacing="0" w:after="0" w:afterAutospacing="0" w:line="360" w:lineRule="auto"/>
        <w:ind w:left="482"/>
        <w:outlineLvl w:val="9"/>
        <w:rPr>
          <w:color w:val="auto"/>
          <w:highlight w:val="none"/>
        </w:rPr>
      </w:pPr>
      <w:r>
        <w:rPr>
          <w:rFonts w:hint="eastAsia"/>
          <w:color w:val="auto"/>
          <w:highlight w:val="none"/>
        </w:rPr>
        <w:t>1.适用范围</w:t>
      </w:r>
    </w:p>
    <w:p>
      <w:pPr>
        <w:pStyle w:val="29"/>
        <w:spacing w:before="0" w:beforeAutospacing="0" w:after="0" w:afterAutospacing="0" w:line="360" w:lineRule="auto"/>
        <w:ind w:left="0" w:firstLineChars="200"/>
        <w:rPr>
          <w:color w:val="auto"/>
          <w:sz w:val="24"/>
          <w:szCs w:val="24"/>
          <w:highlight w:val="none"/>
        </w:rPr>
      </w:pPr>
      <w:r>
        <w:rPr>
          <w:rFonts w:hint="eastAsia"/>
          <w:color w:val="auto"/>
          <w:sz w:val="24"/>
          <w:szCs w:val="24"/>
          <w:highlight w:val="none"/>
        </w:rPr>
        <w:t>1.1 本比选文件仅适用于本次公开比选项目。</w:t>
      </w:r>
    </w:p>
    <w:p>
      <w:pPr>
        <w:pStyle w:val="29"/>
        <w:spacing w:before="0" w:beforeAutospacing="0" w:after="0" w:afterAutospacing="0" w:line="360" w:lineRule="auto"/>
        <w:ind w:left="0" w:firstLineChars="200"/>
        <w:rPr>
          <w:color w:val="auto"/>
          <w:sz w:val="24"/>
          <w:szCs w:val="24"/>
          <w:highlight w:val="none"/>
        </w:rPr>
      </w:pPr>
      <w:r>
        <w:rPr>
          <w:rFonts w:hint="eastAsia"/>
          <w:color w:val="auto"/>
          <w:sz w:val="24"/>
          <w:szCs w:val="24"/>
          <w:highlight w:val="none"/>
        </w:rPr>
        <w:t>1.2 本比选文件的解释权归比选人和比选代理机构所有。</w:t>
      </w:r>
    </w:p>
    <w:p>
      <w:pPr>
        <w:pStyle w:val="28"/>
        <w:spacing w:before="0" w:beforeAutospacing="0" w:after="0" w:afterAutospacing="0" w:line="360" w:lineRule="auto"/>
        <w:ind w:left="482"/>
        <w:outlineLvl w:val="9"/>
        <w:rPr>
          <w:color w:val="auto"/>
          <w:highlight w:val="none"/>
        </w:rPr>
      </w:pPr>
      <w:r>
        <w:rPr>
          <w:rFonts w:hint="eastAsia"/>
          <w:color w:val="auto"/>
          <w:highlight w:val="none"/>
        </w:rPr>
        <w:t>2.有关定义</w:t>
      </w:r>
    </w:p>
    <w:p>
      <w:pPr>
        <w:pStyle w:val="29"/>
        <w:spacing w:before="0" w:beforeAutospacing="0" w:after="0" w:afterAutospacing="0" w:line="360" w:lineRule="auto"/>
        <w:ind w:left="0" w:firstLineChars="200"/>
        <w:rPr>
          <w:color w:val="auto"/>
          <w:sz w:val="24"/>
          <w:szCs w:val="24"/>
          <w:highlight w:val="none"/>
        </w:rPr>
      </w:pPr>
      <w:r>
        <w:rPr>
          <w:rFonts w:hint="eastAsia"/>
          <w:bCs/>
          <w:color w:val="auto"/>
          <w:sz w:val="24"/>
          <w:szCs w:val="24"/>
          <w:highlight w:val="none"/>
        </w:rPr>
        <w:t xml:space="preserve">2.1 </w:t>
      </w:r>
      <w:r>
        <w:rPr>
          <w:rFonts w:hint="eastAsia"/>
          <w:color w:val="auto"/>
          <w:spacing w:val="-8"/>
          <w:sz w:val="24"/>
          <w:szCs w:val="24"/>
          <w:highlight w:val="none"/>
        </w:rPr>
        <w:t>“比选人”系指依法进行项目委托的国家机关、事业单位、团体组织。本次公开比选项目的比选人是</w:t>
      </w:r>
      <w:r>
        <w:rPr>
          <w:rFonts w:hint="eastAsia"/>
          <w:b/>
          <w:bCs/>
          <w:color w:val="auto"/>
          <w:spacing w:val="-8"/>
          <w:sz w:val="24"/>
          <w:szCs w:val="24"/>
          <w:highlight w:val="none"/>
        </w:rPr>
        <w:t>成都成粮蓉泰供应链管理有限公司</w:t>
      </w:r>
      <w:r>
        <w:rPr>
          <w:rFonts w:hint="eastAsia"/>
          <w:color w:val="auto"/>
          <w:spacing w:val="-8"/>
          <w:sz w:val="24"/>
          <w:szCs w:val="24"/>
          <w:highlight w:val="none"/>
        </w:rPr>
        <w:t>。</w:t>
      </w:r>
    </w:p>
    <w:p>
      <w:pPr>
        <w:pStyle w:val="29"/>
        <w:spacing w:before="0" w:beforeAutospacing="0" w:after="0" w:afterAutospacing="0" w:line="360" w:lineRule="auto"/>
        <w:ind w:left="0" w:firstLine="456" w:firstLineChars="200"/>
        <w:rPr>
          <w:color w:val="auto"/>
          <w:sz w:val="24"/>
          <w:szCs w:val="24"/>
          <w:highlight w:val="none"/>
        </w:rPr>
      </w:pPr>
      <w:r>
        <w:rPr>
          <w:rFonts w:hint="eastAsia"/>
          <w:color w:val="auto"/>
          <w:spacing w:val="-6"/>
          <w:sz w:val="24"/>
          <w:szCs w:val="24"/>
          <w:highlight w:val="none"/>
        </w:rPr>
        <w:t>2.2 “比选代理机构”系指根据比选人的委托依法办理比选事宜的代理机构。本次公开比选的比选代理机构是</w:t>
      </w:r>
      <w:r>
        <w:rPr>
          <w:rFonts w:hint="eastAsia"/>
          <w:b/>
          <w:bCs/>
          <w:color w:val="auto"/>
          <w:spacing w:val="-8"/>
          <w:sz w:val="24"/>
          <w:szCs w:val="24"/>
          <w:highlight w:val="none"/>
        </w:rPr>
        <w:t>四川易通天和招标代理有限公司</w:t>
      </w:r>
      <w:r>
        <w:rPr>
          <w:rFonts w:hint="eastAsia"/>
          <w:color w:val="auto"/>
          <w:spacing w:val="-6"/>
          <w:sz w:val="24"/>
          <w:szCs w:val="24"/>
          <w:highlight w:val="none"/>
        </w:rPr>
        <w:t>。</w:t>
      </w:r>
    </w:p>
    <w:p>
      <w:pPr>
        <w:pStyle w:val="29"/>
        <w:spacing w:before="0" w:beforeAutospacing="0" w:after="0" w:afterAutospacing="0" w:line="360" w:lineRule="auto"/>
        <w:ind w:left="0" w:firstLine="456" w:firstLineChars="200"/>
        <w:rPr>
          <w:color w:val="auto"/>
          <w:spacing w:val="-6"/>
          <w:sz w:val="24"/>
          <w:szCs w:val="24"/>
          <w:highlight w:val="none"/>
        </w:rPr>
      </w:pPr>
      <w:r>
        <w:rPr>
          <w:rFonts w:hint="eastAsia"/>
          <w:color w:val="auto"/>
          <w:spacing w:val="-6"/>
          <w:sz w:val="24"/>
          <w:szCs w:val="24"/>
          <w:highlight w:val="none"/>
        </w:rPr>
        <w:t>2.3 “比选单位”系指“比选人”和“比选代理机构”的统称。</w:t>
      </w:r>
    </w:p>
    <w:p>
      <w:pPr>
        <w:pStyle w:val="29"/>
        <w:spacing w:before="0" w:beforeAutospacing="0" w:after="0" w:afterAutospacing="0" w:line="360" w:lineRule="auto"/>
        <w:ind w:left="0" w:firstLine="456" w:firstLineChars="200"/>
        <w:rPr>
          <w:color w:val="auto"/>
          <w:spacing w:val="-6"/>
          <w:sz w:val="24"/>
          <w:szCs w:val="24"/>
          <w:highlight w:val="none"/>
        </w:rPr>
      </w:pPr>
      <w:r>
        <w:rPr>
          <w:rFonts w:hint="eastAsia"/>
          <w:color w:val="auto"/>
          <w:spacing w:val="-6"/>
          <w:sz w:val="24"/>
          <w:szCs w:val="24"/>
          <w:highlight w:val="none"/>
        </w:rPr>
        <w:t>2.4 “比选申请人”系指购买了比选文件拟参加比选和向比选人提供相应工程和服务的比选申请人。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2.5 本比选文件各部分规定的期间以时、日、月、年计算。期间开始的时和日，不计算在期间内，而从次日开始计算。期间届满的最后一天是节假日的，以节假日后的第一日为期间届满的日期。</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2.6 本比选文件各部分规定的时间均以北京时间为准。</w:t>
      </w:r>
    </w:p>
    <w:p>
      <w:pPr>
        <w:pStyle w:val="29"/>
        <w:spacing w:before="0" w:beforeAutospacing="0" w:after="0" w:afterAutospacing="0" w:line="360" w:lineRule="auto"/>
        <w:ind w:left="0" w:firstLine="482" w:firstLineChars="200"/>
        <w:rPr>
          <w:bCs/>
          <w:color w:val="auto"/>
          <w:sz w:val="24"/>
          <w:szCs w:val="24"/>
          <w:highlight w:val="none"/>
        </w:rPr>
      </w:pPr>
      <w:r>
        <w:rPr>
          <w:rFonts w:hint="eastAsia"/>
          <w:b/>
          <w:bCs/>
          <w:color w:val="auto"/>
          <w:sz w:val="24"/>
          <w:szCs w:val="24"/>
          <w:highlight w:val="none"/>
        </w:rPr>
        <w:t>3.合格的比选申请人（实质性要求）</w:t>
      </w:r>
      <w:r>
        <w:rPr>
          <w:rFonts w:hint="eastAsia"/>
          <w:bCs/>
          <w:color w:val="auto"/>
          <w:sz w:val="24"/>
          <w:szCs w:val="24"/>
          <w:highlight w:val="none"/>
        </w:rPr>
        <w:t xml:space="preserve"> 合格比选申请人应具备以下条件：</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3.1 具备法律法规和本比选文件规定的资格条件；</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3.2 不属于禁止参加本项目比选活动的比选申请人；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3.3 按照规定获取了比选文件，属于实质性参加比选活动的比选申请人。</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4.比选费用（实质性要求）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比选申请人参加比选的有关一切费用由比选申请人自行承担。</w:t>
      </w:r>
    </w:p>
    <w:p>
      <w:pPr>
        <w:pStyle w:val="29"/>
        <w:spacing w:before="0" w:beforeAutospacing="0" w:after="0" w:afterAutospacing="0" w:line="360" w:lineRule="auto"/>
        <w:ind w:left="0" w:firstLine="482" w:firstLineChars="200"/>
        <w:rPr>
          <w:color w:val="auto"/>
          <w:sz w:val="24"/>
          <w:szCs w:val="24"/>
          <w:highlight w:val="none"/>
        </w:rPr>
      </w:pPr>
      <w:r>
        <w:rPr>
          <w:rFonts w:hint="eastAsia"/>
          <w:b/>
          <w:bCs/>
          <w:color w:val="auto"/>
          <w:sz w:val="24"/>
          <w:szCs w:val="24"/>
          <w:highlight w:val="none"/>
        </w:rPr>
        <w:t>5.对申请人资格的限制</w:t>
      </w:r>
    </w:p>
    <w:p>
      <w:pPr>
        <w:pStyle w:val="29"/>
        <w:spacing w:before="0" w:beforeAutospacing="0" w:after="0" w:afterAutospacing="0" w:line="360" w:lineRule="auto"/>
        <w:ind w:left="0" w:firstLineChars="200"/>
        <w:rPr>
          <w:color w:val="auto"/>
          <w:sz w:val="24"/>
          <w:szCs w:val="24"/>
          <w:highlight w:val="none"/>
        </w:rPr>
      </w:pPr>
      <w:r>
        <w:rPr>
          <w:rFonts w:hint="eastAsia"/>
          <w:color w:val="auto"/>
          <w:sz w:val="24"/>
          <w:szCs w:val="24"/>
          <w:highlight w:val="none"/>
        </w:rPr>
        <w:t>5.1 处于市场禁入期内或限制期内的单位不能参加比选申请：</w:t>
      </w:r>
    </w:p>
    <w:p>
      <w:pPr>
        <w:pStyle w:val="29"/>
        <w:spacing w:before="0" w:beforeAutospacing="0" w:after="0" w:afterAutospacing="0" w:line="360" w:lineRule="auto"/>
        <w:ind w:left="0" w:firstLineChars="200"/>
        <w:rPr>
          <w:color w:val="auto"/>
          <w:sz w:val="24"/>
          <w:szCs w:val="24"/>
          <w:highlight w:val="none"/>
        </w:rPr>
      </w:pPr>
      <w:r>
        <w:rPr>
          <w:rFonts w:hint="eastAsia"/>
          <w:color w:val="auto"/>
          <w:sz w:val="24"/>
          <w:szCs w:val="24"/>
          <w:highlight w:val="none"/>
        </w:rPr>
        <w:t>5.2 与比选人存在利益关系可能影响比选公正性的单位不得参加申请。包括下列情形：</w:t>
      </w:r>
    </w:p>
    <w:p>
      <w:pPr>
        <w:pStyle w:val="29"/>
        <w:spacing w:before="0" w:beforeAutospacing="0" w:after="0" w:afterAutospacing="0" w:line="360" w:lineRule="auto"/>
        <w:ind w:left="0" w:firstLineChars="200"/>
        <w:rPr>
          <w:color w:val="auto"/>
          <w:sz w:val="24"/>
          <w:szCs w:val="24"/>
          <w:highlight w:val="none"/>
        </w:rPr>
      </w:pPr>
      <w:r>
        <w:rPr>
          <w:rFonts w:hint="eastAsia"/>
          <w:color w:val="auto"/>
          <w:sz w:val="24"/>
          <w:szCs w:val="24"/>
          <w:highlight w:val="none"/>
        </w:rPr>
        <w:t>与本项目的比选人相互任职（相互任职的职务包括董事长、董事、监事，总经理、副总经理或可能产生利益冲突的职务）或工作的。</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6.联合体公开比选（实质性要求）</w:t>
      </w:r>
    </w:p>
    <w:p>
      <w:pPr>
        <w:pStyle w:val="29"/>
        <w:spacing w:before="0" w:beforeAutospacing="0" w:after="0" w:afterAutospacing="0" w:line="360" w:lineRule="auto"/>
        <w:ind w:left="0" w:firstLineChars="200"/>
        <w:rPr>
          <w:bCs/>
          <w:color w:val="auto"/>
          <w:sz w:val="24"/>
          <w:szCs w:val="24"/>
          <w:highlight w:val="none"/>
        </w:rPr>
      </w:pPr>
      <w:r>
        <w:rPr>
          <w:rFonts w:hint="eastAsia" w:ascii="宋体" w:hAnsi="宋体" w:cs="宋体"/>
          <w:color w:val="auto"/>
          <w:sz w:val="24"/>
          <w:highlight w:val="none"/>
        </w:rPr>
        <w:t>本次法律服务采购项目包含刑事</w:t>
      </w:r>
      <w:r>
        <w:rPr>
          <w:rFonts w:hint="eastAsia"/>
          <w:color w:val="auto"/>
          <w:sz w:val="24"/>
          <w:highlight w:val="none"/>
        </w:rPr>
        <w:t>控告、刑事自诉、民事诉讼三个方面工作，三个方面必须按先后顺序依次开展，鉴于案情较为复杂，</w:t>
      </w:r>
      <w:r>
        <w:rPr>
          <w:rFonts w:hint="eastAsia"/>
          <w:bCs/>
          <w:color w:val="auto"/>
          <w:sz w:val="24"/>
          <w:szCs w:val="24"/>
          <w:highlight w:val="none"/>
        </w:rPr>
        <w:t>为了更大范围选拔适合的中标人处理此案件，本项目接受联合体参与比选活动。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联合体投标由不超过两家的参选单位组成，联合体各方签订联合体协议书，明确各方的权利和义务、工作范围和任务分工，联合体双方就本项目承担共同责任。联合体各方不得再以自己名义单独或参加其他联合体在同一标段中投标。</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7.比选申请文件有效期（实质性要求）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本项目比选申请文件有效期为递交比选申请文件截止之日起 90 天。比选申请人比选申请文件中必须载明比选申请文件有效期，比选申请文件中载明的比选申请文件有效期可以长于比选文件规定的期限，但不得短于比选文件规定的期限。否则，其比选申请文件将作为无效处理。</w:t>
      </w:r>
    </w:p>
    <w:p>
      <w:pPr>
        <w:pStyle w:val="45"/>
        <w:spacing w:line="360" w:lineRule="auto"/>
        <w:ind w:left="1" w:firstLine="480" w:firstLineChars="200"/>
        <w:rPr>
          <w:rFonts w:hAnsi="宋体" w:cs="宋体"/>
          <w:b/>
          <w:color w:val="auto"/>
          <w:sz w:val="24"/>
          <w:highlight w:val="none"/>
        </w:rPr>
      </w:pPr>
      <w:r>
        <w:rPr>
          <w:rFonts w:hint="eastAsia" w:hAnsi="宋体" w:cs="宋体"/>
          <w:bCs/>
          <w:color w:val="auto"/>
          <w:sz w:val="24"/>
          <w:szCs w:val="24"/>
          <w:highlight w:val="none"/>
        </w:rPr>
        <w:t>8.</w:t>
      </w:r>
      <w:r>
        <w:rPr>
          <w:rFonts w:hint="eastAsia" w:hAnsi="宋体" w:cs="宋体"/>
          <w:b/>
          <w:color w:val="auto"/>
          <w:sz w:val="24"/>
          <w:highlight w:val="none"/>
        </w:rPr>
        <w:t>知识产权（实质性要求）</w:t>
      </w:r>
    </w:p>
    <w:p>
      <w:pPr>
        <w:spacing w:line="360" w:lineRule="auto"/>
        <w:ind w:firstLine="470" w:firstLineChars="196"/>
        <w:rPr>
          <w:rFonts w:ascii="宋体" w:hAnsi="宋体" w:cs="宋体"/>
          <w:color w:val="auto"/>
          <w:sz w:val="24"/>
          <w:szCs w:val="22"/>
          <w:highlight w:val="none"/>
        </w:rPr>
      </w:pPr>
      <w:r>
        <w:rPr>
          <w:rFonts w:hint="eastAsia" w:ascii="宋体" w:hAnsi="宋体" w:cs="宋体"/>
          <w:bCs/>
          <w:color w:val="auto"/>
          <w:sz w:val="24"/>
          <w:highlight w:val="none"/>
        </w:rPr>
        <w:t>8.1比选申请人</w:t>
      </w:r>
      <w:r>
        <w:rPr>
          <w:rFonts w:hint="eastAsia" w:ascii="宋体" w:hAnsi="宋体" w:cs="宋体"/>
          <w:color w:val="auto"/>
          <w:sz w:val="24"/>
          <w:szCs w:val="22"/>
          <w:highlight w:val="none"/>
        </w:rPr>
        <w:t>应保证在本项目使用的任何产品和服务（包括部分使用）时，不会产生因第三方提出侵犯其著作权、专利权、商标权或其它知识产权而引起的法律和经济纠纷，如因著作权、专利权、商标权或其它知识产权而引起法律和经济纠纷，由</w:t>
      </w:r>
      <w:r>
        <w:rPr>
          <w:rFonts w:hint="eastAsia" w:ascii="宋体" w:hAnsi="宋体" w:cs="宋体"/>
          <w:bCs/>
          <w:color w:val="auto"/>
          <w:sz w:val="24"/>
          <w:highlight w:val="none"/>
        </w:rPr>
        <w:t>比选申请人</w:t>
      </w:r>
      <w:r>
        <w:rPr>
          <w:rFonts w:hint="eastAsia" w:ascii="宋体" w:hAnsi="宋体" w:cs="宋体"/>
          <w:color w:val="auto"/>
          <w:sz w:val="24"/>
          <w:szCs w:val="22"/>
          <w:highlight w:val="none"/>
        </w:rPr>
        <w:t>承担所有相关责任。</w:t>
      </w:r>
    </w:p>
    <w:p>
      <w:pPr>
        <w:spacing w:line="360" w:lineRule="auto"/>
        <w:ind w:firstLine="470" w:firstLineChars="196"/>
        <w:rPr>
          <w:rFonts w:ascii="宋体" w:hAnsi="宋体" w:cs="宋体"/>
          <w:color w:val="auto"/>
          <w:sz w:val="24"/>
          <w:szCs w:val="22"/>
          <w:highlight w:val="none"/>
        </w:rPr>
      </w:pPr>
      <w:r>
        <w:rPr>
          <w:rFonts w:hint="eastAsia" w:ascii="宋体" w:hAnsi="宋体" w:cs="宋体"/>
          <w:color w:val="auto"/>
          <w:sz w:val="24"/>
          <w:szCs w:val="22"/>
          <w:highlight w:val="none"/>
        </w:rPr>
        <w:t>8.2比选人享有本项目实施过程中产生的知识成果及知识产权。</w:t>
      </w:r>
    </w:p>
    <w:p>
      <w:pPr>
        <w:spacing w:line="360" w:lineRule="auto"/>
        <w:ind w:firstLine="470" w:firstLineChars="196"/>
        <w:rPr>
          <w:rFonts w:ascii="宋体" w:hAnsi="宋体" w:cs="宋体"/>
          <w:color w:val="auto"/>
          <w:sz w:val="24"/>
          <w:szCs w:val="22"/>
          <w:highlight w:val="none"/>
        </w:rPr>
      </w:pPr>
      <w:r>
        <w:rPr>
          <w:rFonts w:hint="eastAsia" w:ascii="宋体" w:hAnsi="宋体" w:cs="宋体"/>
          <w:color w:val="auto"/>
          <w:sz w:val="24"/>
          <w:szCs w:val="22"/>
          <w:highlight w:val="none"/>
        </w:rPr>
        <w:t>8.3如采用</w:t>
      </w:r>
      <w:r>
        <w:rPr>
          <w:rFonts w:hint="eastAsia" w:ascii="宋体" w:hAnsi="宋体" w:cs="宋体"/>
          <w:bCs/>
          <w:color w:val="auto"/>
          <w:sz w:val="24"/>
          <w:highlight w:val="none"/>
        </w:rPr>
        <w:t>比选申请人</w:t>
      </w:r>
      <w:r>
        <w:rPr>
          <w:rFonts w:hint="eastAsia" w:ascii="宋体" w:hAnsi="宋体" w:cs="宋体"/>
          <w:color w:val="auto"/>
          <w:sz w:val="24"/>
          <w:szCs w:val="22"/>
          <w:highlight w:val="none"/>
        </w:rPr>
        <w:t xml:space="preserve">所不拥有的知识产权，则在比选报价中必须包括合法获取该知识产权的相关费用。 </w:t>
      </w:r>
    </w:p>
    <w:p>
      <w:pPr>
        <w:pStyle w:val="29"/>
        <w:spacing w:before="0" w:beforeAutospacing="0" w:after="0" w:afterAutospacing="0" w:line="360" w:lineRule="auto"/>
        <w:ind w:left="0" w:firstLineChars="200"/>
        <w:rPr>
          <w:bCs/>
          <w:color w:val="auto"/>
          <w:sz w:val="24"/>
          <w:szCs w:val="24"/>
          <w:highlight w:val="none"/>
        </w:rPr>
      </w:pPr>
    </w:p>
    <w:p>
      <w:pPr>
        <w:pStyle w:val="4"/>
        <w:spacing w:line="360" w:lineRule="auto"/>
        <w:jc w:val="center"/>
        <w:rPr>
          <w:rFonts w:ascii="宋体" w:hAnsi="宋体" w:eastAsia="宋体" w:cs="宋体"/>
          <w:color w:val="auto"/>
          <w:highlight w:val="none"/>
        </w:rPr>
      </w:pPr>
      <w:bookmarkStart w:id="18" w:name="_Toc1385_WPSOffice_Level2"/>
      <w:r>
        <w:rPr>
          <w:rFonts w:hint="eastAsia" w:ascii="宋体" w:hAnsi="宋体" w:eastAsia="宋体" w:cs="宋体"/>
          <w:color w:val="auto"/>
          <w:highlight w:val="none"/>
        </w:rPr>
        <w:t>三、比选文件</w:t>
      </w:r>
      <w:bookmarkEnd w:id="18"/>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9．比选文件的构成（实质性要求）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9.1 比选文件是比选申请人准备比选申请文件和参加比选的依据，同时也是比选的重要依据。比选文件用以阐明比选项目所需的资质、技术、服务及报价等要求、比选程序、有关规定和注意事项以及合同主要条款等。</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9.2 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10.比选文件的澄清和修改</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10.1 在递交比选申请文件截止时间前，比选人、比选代理机构可以对比选文件进行澄清或者修改。</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10.2 比选代理机构对已发出的比选文件进行澄清或者修改，应当以书面形式将澄清或者修改的内容通知所有购买了比选文件的比选申请人，该澄清或者修改的内容为比选文件的组成部分，澄清或者修改的内容可能影响比选申请文件编制的，比选代理机构书面通知比选申请人的时间，应当在提交首次比选申请文件截止之日起 1 日前；不足上述时间的，应当顺延递交比选申请文件的截止时间。</w:t>
      </w:r>
    </w:p>
    <w:p>
      <w:pPr>
        <w:pStyle w:val="4"/>
        <w:spacing w:line="360" w:lineRule="auto"/>
        <w:jc w:val="center"/>
        <w:rPr>
          <w:rFonts w:ascii="宋体" w:hAnsi="宋体" w:eastAsia="宋体" w:cs="宋体"/>
          <w:color w:val="auto"/>
          <w:highlight w:val="none"/>
        </w:rPr>
      </w:pPr>
      <w:bookmarkStart w:id="19" w:name="_Toc3008_WPSOffice_Level2"/>
      <w:r>
        <w:rPr>
          <w:rFonts w:hint="eastAsia" w:ascii="宋体" w:hAnsi="宋体" w:eastAsia="宋体" w:cs="宋体"/>
          <w:color w:val="auto"/>
          <w:highlight w:val="none"/>
        </w:rPr>
        <w:t>四、比选申请文件</w:t>
      </w:r>
      <w:bookmarkEnd w:id="19"/>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11.比选申请文件的组成（实质性要求）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比选申请人应按照比选文件的规定和要求编制比选申请文件。</w:t>
      </w:r>
      <w:r>
        <w:rPr>
          <w:rFonts w:hint="eastAsia"/>
          <w:color w:val="auto"/>
          <w:highlight w:val="none"/>
        </w:rPr>
        <w:t>比选申请人对所投包件分别单独制作、密封。</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11.1比选申请文件包括以下内容:</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比选申请人按照比选文件要求提供的有效资质证明文件</w:t>
      </w:r>
      <w:r>
        <w:rPr>
          <w:rFonts w:hint="eastAsia"/>
          <w:b/>
          <w:bCs/>
          <w:color w:val="auto"/>
          <w:sz w:val="24"/>
          <w:szCs w:val="24"/>
          <w:highlight w:val="none"/>
        </w:rPr>
        <w:t>（详见比选文件第四章）</w:t>
      </w:r>
      <w:r>
        <w:rPr>
          <w:rFonts w:hint="eastAsia"/>
          <w:bCs/>
          <w:color w:val="auto"/>
          <w:sz w:val="24"/>
          <w:szCs w:val="24"/>
          <w:highlight w:val="none"/>
        </w:rPr>
        <w:t>。包括以下内容：</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（1）承诺函；</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w:t>
      </w:r>
      <w:r>
        <w:rPr>
          <w:rFonts w:hint="eastAsia"/>
          <w:b/>
          <w:bCs/>
          <w:color w:val="auto"/>
          <w:sz w:val="24"/>
          <w:szCs w:val="24"/>
          <w:highlight w:val="none"/>
        </w:rPr>
        <w:t>比选文件第四章所需要提交的证明材料；</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（3）比选申请人认为需要提供的其他证明材料；</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（4）报价函，</w:t>
      </w:r>
      <w:r>
        <w:rPr>
          <w:rFonts w:hint="eastAsia"/>
          <w:b/>
          <w:bCs/>
          <w:color w:val="auto"/>
          <w:sz w:val="24"/>
          <w:szCs w:val="24"/>
          <w:highlight w:val="none"/>
        </w:rPr>
        <w:t>本次比选报价要求：</w:t>
      </w:r>
      <w:r>
        <w:rPr>
          <w:rFonts w:hint="eastAsia"/>
          <w:bCs/>
          <w:color w:val="auto"/>
          <w:sz w:val="24"/>
          <w:szCs w:val="24"/>
          <w:highlight w:val="none"/>
        </w:rPr>
        <w:t>比选申请人的报价是比选申请人响应公开比选项目要求的全部工作内容的价格体现，包括比选申请人完成本项目所需的一切费用；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（5）技术、服务应答表；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（6）商务应答表；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（7）比选申请人基本情况表；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（8）服务方案；</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（9）比选申请人类似项目业绩一览表（若有）；</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（10）比选文件中要求提供的其他文件和资料；</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（11）比选申请人认为需要提供的其他文件和资料。</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12.比选申请文件的语言（实质性要求）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12.1 比选申请人提交的比选申请文件以及比选申请人与比选人、比选代理机构就有关报价的所有来往书面文件均须使用中文。比选申请文件中如附有外文资料，必须逐一对应翻译成中文并加盖比选申请人公章后附在相关外文资料后面，否则，比选申请人的比选申请文件将作为无效处理。（说明：比选申请人的法定代表人为外籍人士的，法定代表人的签字和护照除外。）</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12.2 翻译的中文资料与外文资料如果出现差异和矛盾，以中文为准。但不能故意错误翻译，否则，比选申请人的比选申请文件将作为无效处理。</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13.计量单位（实质性要求）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除比选文件中另有规定外，本次比选项目所有合同项下的报价均采用国家法定的计量单位。</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14.报价货币（实质性要求）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本次比选项目的报价货币为人民币，报价以比选文件规定为准。</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15.比选申请文件格式</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15.1 比选申请人应执行比选文件第三章的规定要求。</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15.2 对于没有格式要求的比选文件由比选申请人自行编写。</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16.比选申请文件的编制和签署</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 xml:space="preserve">16.1 </w:t>
      </w:r>
      <w:r>
        <w:rPr>
          <w:rFonts w:hint="eastAsia"/>
          <w:b/>
          <w:color w:val="auto"/>
          <w:sz w:val="24"/>
          <w:szCs w:val="24"/>
          <w:highlight w:val="none"/>
        </w:rPr>
        <w:t>比选申请文件正本壹份副本壹份</w:t>
      </w:r>
      <w:r>
        <w:rPr>
          <w:rFonts w:hint="eastAsia"/>
          <w:bCs/>
          <w:color w:val="auto"/>
          <w:sz w:val="24"/>
          <w:szCs w:val="24"/>
          <w:highlight w:val="none"/>
        </w:rPr>
        <w:t>，并在其封面上标明比选申请文件、比选项目名称、比选项目编号、包件号（若有）、比选申请人名称以及“正本”或“副本”字样。若正本和副本有不一致的内容，以正本书面比选申请文件为准。</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16.2 比选申请文件正本和副本均需在规定签章处签字和盖章。比选申请文件副本可采用正本的复印件。</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16.3 比选申请文件的打印和书写应清楚工整，任何行间插字、涂改或增删，必须由比选申请人的法定代表人或其授权代表签字并盖比选申请人公章。</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16.4 比选申请文件应由比选申请人法定代表人/主要负责人/本人或其授权代表在比选申请文件要求的地方签字（或加盖私人印章），要求加盖公章的地方加盖单位公章，不得使用专用章（如经济合同章、比选专用章等）或下属单位印章代替。</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16.5 比选申请文件正本和副本需要逐页编目编码。</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16.6 比选申请文件正本和副本应当采用胶装方式装订成册，不得散装或者合页装订。</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16.7 比选申请文件应根据比选文件的要求制作，签署、盖章。</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16.8 比选申请文件统一用 A4 幅面纸印制，除另有规定外。</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17.比选申请文件的密封和标注（不属于本项目比选小组评审范畴，由比选代理机构在接收比选申请文件时及时处理）</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17.1 比选申请文件根据所投包件单独密封包装。</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17.2 比选申请文件密封袋的最外层应清楚地标明比选申请人名称、项目名称、包件号、联系电话。</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17.3 所有外层密封袋的封口处应粘贴牢固。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17.4 未按以上要求进行密封和标注的比选申请文件，比选代理机构将拒收或者在时间允许的范围内，要求修改完善后接收。</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18.比选申请文件的递交</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18.1 比选申请文件应于截止时间前送达或邮寄至指定地点，比选代理机构拒绝接收截止时间后送达的比选申请文件。</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19.比选申请文件的修改和撤回</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19.1 比选申请人在提交比选申请文件后可对其比选申请文件进行修改或撤回，但该修改或撤回的书面通知须在递交截止时间之前送达比选代理机构，补充、修改的内容作为比选申请文件的组成部分。且该通知需经正式授权的比选申请人代表签字方为有效。比选申请人在提交比选申请文件截止时间前，可以对所提交的比选申请文件进行补充、修改或者撤回，补充、修改的内容与比选申请文件不一致的，以补充、修改的内容为准。</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19.2 比选申请人对比选申请文件修改的书面材料或撤回的通知应该按规定进行编写、密封、标注和递送，并注明“修改比选申请文件”字样。比选申请人不得在递交截止时间起至比选申请文件有效期期满前撤销其比选申请文件。</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19.3 比选申请文件中报价如果出现下列不一致的，可按以下原则进行修改：</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（一）大写金额和小写金额不一致的，以大写金额为准，但大写金额文字存在错误的，应当先对大写金额的文字错误进行澄清、说明或者更正，再行修正。</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（三）单价金额小数点或者百分比有明显错位的，以总价为准，修正单价。</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同时出现两种以上不一致的，按照上述规定的顺序修正。修正后的报价经比选申请人确认后产生约束力，比选申请人不确认的，其比选申请文件作为无效处理。比选申请人书面说明应当签字确认且加盖公章，否则无效。书面说明的签字确认，由其法定代表人/主要负责人/本人或者其授权代表签字确认。</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19.4 比选申请人对其提交的比选申请文件的真实性、合法性承担法律责任。</w:t>
      </w:r>
    </w:p>
    <w:p>
      <w:pPr>
        <w:pStyle w:val="4"/>
        <w:spacing w:line="360" w:lineRule="auto"/>
        <w:jc w:val="center"/>
        <w:rPr>
          <w:rFonts w:ascii="宋体" w:hAnsi="宋体" w:eastAsia="宋体" w:cs="宋体"/>
          <w:color w:val="auto"/>
          <w:highlight w:val="none"/>
        </w:rPr>
      </w:pPr>
      <w:bookmarkStart w:id="20" w:name="_Toc4674_WPSOffice_Level2"/>
      <w:r>
        <w:rPr>
          <w:rFonts w:hint="eastAsia" w:ascii="宋体" w:hAnsi="宋体" w:eastAsia="宋体" w:cs="宋体"/>
          <w:color w:val="auto"/>
          <w:highlight w:val="none"/>
        </w:rPr>
        <w:t>五、评</w:t>
      </w:r>
      <w:bookmarkEnd w:id="20"/>
      <w:r>
        <w:rPr>
          <w:rFonts w:hint="eastAsia" w:ascii="宋体" w:hAnsi="宋体" w:eastAsia="宋体" w:cs="宋体"/>
          <w:color w:val="auto"/>
          <w:highlight w:val="none"/>
        </w:rPr>
        <w:t>选</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20.比选小组的组建及其评审工作按照有关法律制度和本文件第六章的规定进行。</w:t>
      </w:r>
    </w:p>
    <w:p>
      <w:pPr>
        <w:pStyle w:val="4"/>
        <w:spacing w:line="360" w:lineRule="auto"/>
        <w:jc w:val="center"/>
        <w:rPr>
          <w:rFonts w:ascii="宋体" w:hAnsi="宋体" w:eastAsia="宋体" w:cs="宋体"/>
          <w:color w:val="auto"/>
          <w:highlight w:val="none"/>
        </w:rPr>
      </w:pPr>
      <w:bookmarkStart w:id="21" w:name="_Toc12956_WPSOffice_Level2"/>
      <w:r>
        <w:rPr>
          <w:rFonts w:hint="eastAsia" w:ascii="宋体" w:hAnsi="宋体" w:eastAsia="宋体" w:cs="宋体"/>
          <w:color w:val="auto"/>
          <w:highlight w:val="none"/>
        </w:rPr>
        <w:t>六、成交事项</w:t>
      </w:r>
      <w:bookmarkEnd w:id="21"/>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21.确定中选人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比选人将按比选小组推荐的中选候选人顺序确定中选人。比选代理机构自评审结束后2个工作日内将比选报告及有关资料送交比选人确定中选人。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21.1 比选人收到比选报告及有关资料后，将在 5 个工作日内按照比选报告中推荐的中选候选人顺序确定中选人。中选候选人并列的，比选人自主采取公平、择优的方式选择中选人。比选人逾期未确定中选人且不提出异议的，视为确定比选报告提出的排序第一的比选申请人为中选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21.2 比选人确定中选人过程中，发现中选候选比选申请人有下列情形之一的，应当不予确定其为中选人：</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（1）发现中选候选人存在禁止参加本项目比选活动的违法行为的；</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（2）中选候选人因不可抗力，不能继续参加比选活动；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（3）中选候选人无偿赠与或者低于成本价竞争；</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（4）中选候选人提供虚假材料；</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（5）中选候选人恶意串通。</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中选候选人有本条情形之一的，比选人可以确定后一位中选候选人为中选人，依次类推。无法确定中选人的，应当重新组织比选。</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22.中选结果</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22.1 比选人确定中选人后，将及时书面通知比选代理机构，发出中选通知书并发布中选结果公告。</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22.2 中选人应当及时领取中选通知书。</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22.3 中选人不能及时领取中选通知书，比选人或者比选代理机应当通过邮寄、快递等方式将中选通知书送达中选人。</w:t>
      </w:r>
    </w:p>
    <w:p>
      <w:pPr>
        <w:pStyle w:val="4"/>
        <w:spacing w:line="360" w:lineRule="auto"/>
        <w:jc w:val="center"/>
        <w:rPr>
          <w:rFonts w:ascii="宋体" w:hAnsi="宋体" w:eastAsia="宋体" w:cs="宋体"/>
          <w:color w:val="auto"/>
          <w:highlight w:val="none"/>
        </w:rPr>
      </w:pPr>
      <w:bookmarkStart w:id="22" w:name="_Toc29853_WPSOffice_Level2"/>
      <w:r>
        <w:rPr>
          <w:rFonts w:hint="eastAsia" w:ascii="宋体" w:hAnsi="宋体" w:eastAsia="宋体" w:cs="宋体"/>
          <w:color w:val="auto"/>
          <w:highlight w:val="none"/>
        </w:rPr>
        <w:t>七、合同事项</w:t>
      </w:r>
      <w:bookmarkEnd w:id="22"/>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23.签订合同</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23.1 中选人应在中选通知书发出之日起七个工作日内与比选人签订合同。由于中选人的原因逾期未与比选人签订合同的，将视为放弃中选，取消其中选资格并将按相关规定进行处理。</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23.2 比选文件、中选人的比选申请文件及双方确认的澄清文件等，均为有法律约束力的合同组成部分。</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23.3 比选人不得向中选人提出任何不合理的要求，作为签订合同的条件， 不得与中选人私下订立背离合同实质性内容的任何协议，所签订的合同不得对比选文件和中选人比选申请文件确定的事项进行修改。</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23.4 中选人因不可抗力原因不能履行合同或放弃中选的，比选人可以与排在中选人之后第一位的中选候选人签订合同，以此类推。</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23.5 比选文件、中选人提交的比选申请文件、比选中的最后报价、中选人承诺书、中选通知书等均称为有法律约束力的合同组成内容。</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24.补充合同</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合同履行过程中，比选人需要追加与合同标的相同的货物或者服务的，在不改变合同其他条款的前提下，可以与中选人协商签订补充合同。</w:t>
      </w:r>
    </w:p>
    <w:p>
      <w:pPr>
        <w:pStyle w:val="29"/>
        <w:spacing w:before="0" w:beforeAutospacing="0" w:after="0" w:afterAutospacing="0" w:line="360" w:lineRule="auto"/>
        <w:ind w:left="0" w:firstLine="482" w:firstLineChars="200"/>
        <w:rPr>
          <w:b/>
          <w:bCs/>
          <w:color w:val="auto"/>
          <w:sz w:val="24"/>
          <w:szCs w:val="24"/>
          <w:highlight w:val="none"/>
        </w:rPr>
      </w:pPr>
      <w:r>
        <w:rPr>
          <w:rFonts w:hint="eastAsia"/>
          <w:b/>
          <w:bCs/>
          <w:color w:val="auto"/>
          <w:sz w:val="24"/>
          <w:szCs w:val="24"/>
          <w:highlight w:val="none"/>
        </w:rPr>
        <w:t>25.履行合同</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25.1 中选人与比选人签订合同后，合同双方应严格执行合同条款，履行合同规定的义务，保证合同的顺利完成。</w:t>
      </w:r>
    </w:p>
    <w:p>
      <w:pPr>
        <w:pStyle w:val="29"/>
        <w:spacing w:before="0" w:beforeAutospacing="0" w:after="0" w:afterAutospacing="0" w:line="360" w:lineRule="auto"/>
        <w:ind w:left="0" w:firstLineChars="200"/>
        <w:rPr>
          <w:bCs/>
          <w:color w:val="auto"/>
          <w:sz w:val="24"/>
          <w:szCs w:val="24"/>
          <w:highlight w:val="none"/>
        </w:rPr>
      </w:pPr>
      <w:r>
        <w:rPr>
          <w:rFonts w:hint="eastAsia"/>
          <w:bCs/>
          <w:color w:val="auto"/>
          <w:sz w:val="24"/>
          <w:szCs w:val="24"/>
          <w:highlight w:val="none"/>
        </w:rPr>
        <w:t>25.2 在合同履行过程中，如发生合同纠纷，合同双方应按照《民法典》的有关规定进行处理。</w:t>
      </w:r>
    </w:p>
    <w:p>
      <w:pPr>
        <w:pStyle w:val="2"/>
        <w:rPr>
          <w:rFonts w:ascii="宋体" w:hAnsi="宋体" w:cs="宋体"/>
          <w:color w:val="auto"/>
          <w:highlight w:val="none"/>
        </w:rPr>
      </w:pPr>
      <w:r>
        <w:rPr>
          <w:rFonts w:hint="eastAsia" w:ascii="宋体" w:hAnsi="宋体" w:cs="宋体"/>
          <w:color w:val="auto"/>
          <w:highlight w:val="none"/>
        </w:rPr>
        <w:br w:type="page"/>
      </w:r>
    </w:p>
    <w:p>
      <w:pPr>
        <w:pStyle w:val="3"/>
        <w:spacing w:line="360" w:lineRule="auto"/>
        <w:jc w:val="center"/>
        <w:rPr>
          <w:rFonts w:ascii="宋体" w:hAnsi="宋体" w:cs="宋体"/>
          <w:color w:val="auto"/>
          <w:highlight w:val="none"/>
        </w:rPr>
      </w:pPr>
      <w:bookmarkStart w:id="23" w:name="_Toc1237"/>
      <w:bookmarkStart w:id="24" w:name="_Toc4883_WPSOffice_Level1"/>
      <w:r>
        <w:rPr>
          <w:rFonts w:hint="eastAsia" w:ascii="宋体" w:hAnsi="宋体" w:cs="宋体"/>
          <w:color w:val="auto"/>
          <w:highlight w:val="none"/>
        </w:rPr>
        <w:t>第三章  比选申请文件格式</w:t>
      </w:r>
      <w:bookmarkEnd w:id="4"/>
      <w:bookmarkEnd w:id="5"/>
      <w:bookmarkEnd w:id="23"/>
      <w:bookmarkEnd w:id="24"/>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一、本章所制比选申请文件格式，除格式中明确将该格式作为实质性要求的，一律不具有强制性。</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二、本章所制比选申请文件格式中需要填写的相关内容事项，可能会与本比选项目无关，在不改变比选申请文件原意、不影响本项目需求的情况下，比选申请人可以不予填写，但应当注明。</w:t>
      </w:r>
    </w:p>
    <w:p>
      <w:pPr>
        <w:pStyle w:val="2"/>
        <w:rPr>
          <w:rFonts w:ascii="宋体" w:hAnsi="宋体" w:cs="宋体"/>
          <w:color w:val="auto"/>
          <w:highlight w:val="none"/>
        </w:rPr>
      </w:pPr>
      <w:r>
        <w:rPr>
          <w:rFonts w:hint="eastAsia" w:ascii="宋体" w:hAnsi="宋体" w:cs="宋体"/>
          <w:color w:val="auto"/>
          <w:highlight w:val="none"/>
        </w:rPr>
        <w:br w:type="page"/>
      </w:r>
    </w:p>
    <w:p>
      <w:pPr>
        <w:autoSpaceDE w:val="0"/>
        <w:autoSpaceDN w:val="0"/>
        <w:adjustRightInd w:val="0"/>
        <w:spacing w:line="520" w:lineRule="exact"/>
        <w:jc w:val="center"/>
        <w:rPr>
          <w:rFonts w:ascii="宋体" w:hAnsi="宋体" w:cs="宋体"/>
          <w:color w:val="auto"/>
          <w:sz w:val="28"/>
          <w:highlight w:val="none"/>
        </w:rPr>
      </w:pPr>
      <w:bookmarkStart w:id="25" w:name="_Toc14874_WPSOffice_Level2"/>
      <w:bookmarkStart w:id="26" w:name="_Toc18779_WPSOffice_Level2"/>
      <w:r>
        <w:rPr>
          <w:rFonts w:hint="eastAsia" w:ascii="宋体" w:hAnsi="宋体" w:cs="宋体"/>
          <w:color w:val="auto"/>
          <w:sz w:val="28"/>
          <w:highlight w:val="none"/>
        </w:rPr>
        <w:t>（封面格式）</w:t>
      </w:r>
      <w:bookmarkEnd w:id="25"/>
      <w:bookmarkEnd w:id="26"/>
    </w:p>
    <w:p>
      <w:pPr>
        <w:autoSpaceDE w:val="0"/>
        <w:autoSpaceDN w:val="0"/>
        <w:adjustRightInd w:val="0"/>
        <w:spacing w:line="520" w:lineRule="exact"/>
        <w:jc w:val="center"/>
        <w:rPr>
          <w:rFonts w:ascii="宋体" w:hAnsi="宋体" w:cs="宋体"/>
          <w:color w:val="auto"/>
          <w:sz w:val="28"/>
          <w:highlight w:val="none"/>
        </w:rPr>
      </w:pPr>
    </w:p>
    <w:p>
      <w:pPr>
        <w:autoSpaceDE w:val="0"/>
        <w:autoSpaceDN w:val="0"/>
        <w:adjustRightInd w:val="0"/>
        <w:spacing w:line="520" w:lineRule="exact"/>
        <w:jc w:val="center"/>
        <w:rPr>
          <w:rFonts w:ascii="宋体" w:hAnsi="宋体" w:cs="宋体"/>
          <w:color w:val="auto"/>
          <w:sz w:val="44"/>
          <w:highlight w:val="none"/>
        </w:rPr>
      </w:pPr>
    </w:p>
    <w:p>
      <w:pPr>
        <w:pStyle w:val="2"/>
        <w:rPr>
          <w:rFonts w:ascii="宋体" w:hAnsi="宋体" w:cs="宋体"/>
          <w:color w:val="auto"/>
          <w:highlight w:val="none"/>
        </w:rPr>
      </w:pPr>
    </w:p>
    <w:p>
      <w:pPr>
        <w:autoSpaceDE w:val="0"/>
        <w:autoSpaceDN w:val="0"/>
        <w:adjustRightInd w:val="0"/>
        <w:spacing w:line="520" w:lineRule="exact"/>
        <w:jc w:val="center"/>
        <w:rPr>
          <w:rFonts w:ascii="宋体" w:hAnsi="宋体" w:cs="宋体"/>
          <w:color w:val="auto"/>
          <w:sz w:val="44"/>
          <w:highlight w:val="none"/>
        </w:rPr>
      </w:pPr>
    </w:p>
    <w:p>
      <w:pPr>
        <w:autoSpaceDE w:val="0"/>
        <w:autoSpaceDN w:val="0"/>
        <w:adjustRightInd w:val="0"/>
        <w:jc w:val="center"/>
        <w:rPr>
          <w:rFonts w:ascii="宋体" w:hAnsi="宋体" w:cs="宋体"/>
          <w:color w:val="auto"/>
          <w:sz w:val="84"/>
          <w:szCs w:val="84"/>
          <w:highlight w:val="none"/>
        </w:rPr>
      </w:pPr>
      <w:bookmarkStart w:id="27" w:name="_Toc12049_WPSOffice_Level2"/>
      <w:bookmarkStart w:id="28" w:name="_Toc15944_WPSOffice_Level2"/>
      <w:r>
        <w:rPr>
          <w:rFonts w:hint="eastAsia" w:ascii="宋体" w:hAnsi="宋体" w:cs="宋体"/>
          <w:color w:val="auto"/>
          <w:sz w:val="84"/>
          <w:szCs w:val="84"/>
          <w:highlight w:val="none"/>
        </w:rPr>
        <w:t>比选申请文件</w:t>
      </w:r>
      <w:bookmarkEnd w:id="27"/>
      <w:bookmarkEnd w:id="28"/>
    </w:p>
    <w:p>
      <w:pPr>
        <w:autoSpaceDE w:val="0"/>
        <w:autoSpaceDN w:val="0"/>
        <w:adjustRightInd w:val="0"/>
        <w:spacing w:line="520" w:lineRule="exact"/>
        <w:jc w:val="center"/>
        <w:rPr>
          <w:rFonts w:ascii="宋体" w:hAnsi="宋体" w:cs="宋体"/>
          <w:color w:val="auto"/>
          <w:sz w:val="44"/>
          <w:highlight w:val="none"/>
        </w:rPr>
      </w:pPr>
    </w:p>
    <w:p>
      <w:pPr>
        <w:autoSpaceDE w:val="0"/>
        <w:autoSpaceDN w:val="0"/>
        <w:adjustRightInd w:val="0"/>
        <w:spacing w:line="520" w:lineRule="exact"/>
        <w:jc w:val="center"/>
        <w:rPr>
          <w:rFonts w:ascii="宋体" w:hAnsi="宋体" w:cs="宋体"/>
          <w:color w:val="auto"/>
          <w:sz w:val="44"/>
          <w:highlight w:val="none"/>
        </w:rPr>
      </w:pPr>
      <w:bookmarkStart w:id="29" w:name="_Toc27548_WPSOffice_Level2"/>
      <w:bookmarkStart w:id="30" w:name="_Toc30089_WPSOffice_Level2"/>
      <w:r>
        <w:rPr>
          <w:rFonts w:hint="eastAsia" w:ascii="宋体" w:hAnsi="宋体" w:cs="宋体"/>
          <w:color w:val="auto"/>
          <w:sz w:val="44"/>
          <w:highlight w:val="none"/>
        </w:rPr>
        <w:t>（正本/副本）</w:t>
      </w:r>
      <w:bookmarkEnd w:id="29"/>
      <w:bookmarkEnd w:id="30"/>
    </w:p>
    <w:p>
      <w:pPr>
        <w:autoSpaceDE w:val="0"/>
        <w:autoSpaceDN w:val="0"/>
        <w:adjustRightInd w:val="0"/>
        <w:spacing w:line="520" w:lineRule="exact"/>
        <w:jc w:val="center"/>
        <w:rPr>
          <w:rFonts w:ascii="宋体" w:hAnsi="宋体" w:cs="宋体"/>
          <w:color w:val="auto"/>
          <w:sz w:val="44"/>
          <w:highlight w:val="none"/>
        </w:rPr>
      </w:pPr>
    </w:p>
    <w:p>
      <w:pPr>
        <w:autoSpaceDE w:val="0"/>
        <w:autoSpaceDN w:val="0"/>
        <w:adjustRightInd w:val="0"/>
        <w:spacing w:line="520" w:lineRule="exact"/>
        <w:jc w:val="center"/>
        <w:rPr>
          <w:rFonts w:ascii="宋体" w:hAnsi="宋体" w:cs="宋体"/>
          <w:color w:val="auto"/>
          <w:sz w:val="44"/>
          <w:highlight w:val="none"/>
        </w:rPr>
      </w:pPr>
    </w:p>
    <w:p>
      <w:pPr>
        <w:autoSpaceDE w:val="0"/>
        <w:autoSpaceDN w:val="0"/>
        <w:adjustRightInd w:val="0"/>
        <w:spacing w:line="520" w:lineRule="exact"/>
        <w:jc w:val="center"/>
        <w:rPr>
          <w:rFonts w:ascii="宋体" w:hAnsi="宋体" w:cs="宋体"/>
          <w:color w:val="auto"/>
          <w:sz w:val="44"/>
          <w:highlight w:val="none"/>
        </w:rPr>
      </w:pPr>
    </w:p>
    <w:p>
      <w:pPr>
        <w:autoSpaceDE w:val="0"/>
        <w:autoSpaceDN w:val="0"/>
        <w:adjustRightInd w:val="0"/>
        <w:spacing w:line="520" w:lineRule="exact"/>
        <w:ind w:firstLine="1839" w:firstLineChars="418"/>
        <w:jc w:val="center"/>
        <w:rPr>
          <w:rFonts w:ascii="宋体" w:hAnsi="宋体" w:cs="宋体"/>
          <w:color w:val="auto"/>
          <w:sz w:val="44"/>
          <w:highlight w:val="none"/>
        </w:rPr>
      </w:pPr>
    </w:p>
    <w:p>
      <w:pPr>
        <w:autoSpaceDE w:val="0"/>
        <w:autoSpaceDN w:val="0"/>
        <w:adjustRightInd w:val="0"/>
        <w:snapToGrid w:val="0"/>
        <w:spacing w:after="156" w:afterLines="50" w:line="360" w:lineRule="auto"/>
        <w:ind w:firstLine="1337" w:firstLineChars="418"/>
        <w:rPr>
          <w:rFonts w:ascii="宋体" w:hAnsi="宋体" w:cs="宋体"/>
          <w:color w:val="auto"/>
          <w:sz w:val="32"/>
          <w:szCs w:val="32"/>
          <w:highlight w:val="none"/>
        </w:rPr>
      </w:pPr>
      <w:bookmarkStart w:id="31" w:name="_Toc11125_WPSOffice_Level2"/>
      <w:bookmarkStart w:id="32" w:name="_Toc4356_WPSOffice_Level2"/>
      <w:r>
        <w:rPr>
          <w:rFonts w:hint="eastAsia" w:ascii="宋体" w:hAnsi="宋体" w:cs="宋体"/>
          <w:color w:val="auto"/>
          <w:sz w:val="32"/>
          <w:szCs w:val="32"/>
          <w:highlight w:val="none"/>
        </w:rPr>
        <w:t>项目编号：</w:t>
      </w:r>
      <w:bookmarkEnd w:id="31"/>
      <w:bookmarkEnd w:id="32"/>
      <w:r>
        <w:rPr>
          <w:rFonts w:hint="eastAsia" w:ascii="宋体" w:hAnsi="宋体" w:cs="宋体"/>
          <w:color w:val="auto"/>
          <w:sz w:val="32"/>
          <w:szCs w:val="32"/>
          <w:highlight w:val="none"/>
          <w:u w:val="single"/>
        </w:rPr>
        <w:t xml:space="preserve">                     </w:t>
      </w:r>
    </w:p>
    <w:p>
      <w:pPr>
        <w:autoSpaceDE w:val="0"/>
        <w:autoSpaceDN w:val="0"/>
        <w:adjustRightInd w:val="0"/>
        <w:snapToGrid w:val="0"/>
        <w:spacing w:after="156" w:afterLines="50" w:line="360" w:lineRule="auto"/>
        <w:ind w:firstLine="1337" w:firstLineChars="418"/>
        <w:rPr>
          <w:rFonts w:ascii="宋体" w:hAnsi="宋体" w:cs="宋体"/>
          <w:color w:val="auto"/>
          <w:sz w:val="32"/>
          <w:szCs w:val="32"/>
          <w:highlight w:val="none"/>
          <w:u w:val="single"/>
        </w:rPr>
      </w:pPr>
      <w:bookmarkStart w:id="33" w:name="_Toc12506_WPSOffice_Level2"/>
      <w:bookmarkStart w:id="34" w:name="_Toc29725_WPSOffice_Level2"/>
      <w:r>
        <w:rPr>
          <w:rFonts w:hint="eastAsia" w:ascii="宋体" w:hAnsi="宋体" w:cs="宋体"/>
          <w:color w:val="auto"/>
          <w:sz w:val="32"/>
          <w:szCs w:val="32"/>
          <w:highlight w:val="none"/>
        </w:rPr>
        <w:t>项目名称：</w:t>
      </w:r>
      <w:bookmarkEnd w:id="33"/>
      <w:bookmarkEnd w:id="34"/>
      <w:r>
        <w:rPr>
          <w:rFonts w:hint="eastAsia" w:ascii="宋体" w:hAnsi="宋体" w:cs="宋体"/>
          <w:color w:val="auto"/>
          <w:sz w:val="32"/>
          <w:szCs w:val="32"/>
          <w:highlight w:val="none"/>
          <w:u w:val="single"/>
        </w:rPr>
        <w:t xml:space="preserve">                     </w:t>
      </w:r>
    </w:p>
    <w:p>
      <w:pPr>
        <w:autoSpaceDE w:val="0"/>
        <w:autoSpaceDN w:val="0"/>
        <w:adjustRightInd w:val="0"/>
        <w:snapToGrid w:val="0"/>
        <w:spacing w:after="156" w:afterLines="50" w:line="360" w:lineRule="auto"/>
        <w:ind w:firstLine="1337" w:firstLineChars="418"/>
        <w:rPr>
          <w:rFonts w:ascii="宋体" w:hAnsi="宋体" w:cs="宋体"/>
          <w:color w:val="auto"/>
          <w:sz w:val="32"/>
          <w:szCs w:val="32"/>
          <w:highlight w:val="none"/>
        </w:rPr>
      </w:pPr>
      <w:bookmarkStart w:id="35" w:name="_Toc8826_WPSOffice_Level2"/>
      <w:bookmarkStart w:id="36" w:name="_Toc18570_WPSOffice_Level2"/>
      <w:r>
        <w:rPr>
          <w:rFonts w:hint="eastAsia" w:ascii="宋体" w:hAnsi="宋体" w:cs="宋体"/>
          <w:color w:val="auto"/>
          <w:sz w:val="32"/>
          <w:szCs w:val="32"/>
          <w:highlight w:val="none"/>
        </w:rPr>
        <w:t>比选申请人：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（公章）</w:t>
      </w:r>
      <w:bookmarkEnd w:id="35"/>
      <w:bookmarkEnd w:id="36"/>
    </w:p>
    <w:p>
      <w:pPr>
        <w:autoSpaceDE w:val="0"/>
        <w:autoSpaceDN w:val="0"/>
        <w:adjustRightInd w:val="0"/>
        <w:snapToGrid w:val="0"/>
        <w:spacing w:after="156" w:afterLines="50" w:line="360" w:lineRule="auto"/>
        <w:ind w:firstLine="1337" w:firstLineChars="418"/>
        <w:rPr>
          <w:rFonts w:ascii="宋体" w:hAnsi="宋体" w:cs="宋体"/>
          <w:color w:val="auto"/>
          <w:sz w:val="32"/>
          <w:szCs w:val="32"/>
          <w:highlight w:val="none"/>
        </w:rPr>
      </w:pPr>
      <w:bookmarkStart w:id="37" w:name="_Toc23442_WPSOffice_Level2"/>
      <w:bookmarkStart w:id="38" w:name="_Toc28822_WPSOffice_Level2"/>
      <w:r>
        <w:rPr>
          <w:rFonts w:hint="eastAsia" w:ascii="宋体" w:hAnsi="宋体" w:cs="宋体"/>
          <w:color w:val="auto"/>
          <w:sz w:val="32"/>
          <w:szCs w:val="32"/>
          <w:highlight w:val="none"/>
        </w:rPr>
        <w:t>比选日期：</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bookmarkEnd w:id="37"/>
      <w:bookmarkEnd w:id="38"/>
    </w:p>
    <w:p>
      <w:pPr>
        <w:pStyle w:val="2"/>
        <w:rPr>
          <w:rFonts w:ascii="宋体" w:hAnsi="宋体" w:cs="宋体"/>
          <w:color w:val="auto"/>
          <w:highlight w:val="none"/>
        </w:rPr>
      </w:pPr>
      <w:r>
        <w:rPr>
          <w:rFonts w:hint="eastAsia" w:ascii="宋体" w:hAnsi="宋体" w:cs="宋体"/>
          <w:color w:val="auto"/>
          <w:highlight w:val="none"/>
        </w:rPr>
        <w:br w:type="page"/>
      </w:r>
    </w:p>
    <w:p>
      <w:pPr>
        <w:pStyle w:val="4"/>
        <w:spacing w:before="0" w:after="0" w:line="360" w:lineRule="auto"/>
        <w:jc w:val="center"/>
        <w:rPr>
          <w:rFonts w:ascii="宋体" w:hAnsi="宋体" w:eastAsia="宋体" w:cs="宋体"/>
          <w:color w:val="auto"/>
          <w:highlight w:val="none"/>
        </w:rPr>
      </w:pPr>
      <w:bookmarkStart w:id="39" w:name="_Toc18604_WPSOffice_Level2"/>
      <w:r>
        <w:rPr>
          <w:rFonts w:hint="eastAsia" w:ascii="宋体" w:hAnsi="宋体" w:eastAsia="宋体" w:cs="宋体"/>
          <w:color w:val="auto"/>
          <w:highlight w:val="none"/>
        </w:rPr>
        <w:t>一、承诺函</w:t>
      </w:r>
      <w:bookmarkEnd w:id="39"/>
    </w:p>
    <w:p>
      <w:pPr>
        <w:spacing w:line="360" w:lineRule="auto"/>
        <w:rPr>
          <w:rFonts w:ascii="宋体" w:hAnsi="宋体" w:cs="宋体"/>
          <w:color w:val="auto"/>
          <w:sz w:val="24"/>
          <w:highlight w:val="none"/>
        </w:rPr>
      </w:pPr>
      <w:r>
        <w:rPr>
          <w:rFonts w:hint="eastAsia" w:ascii="宋体" w:hAnsi="宋体" w:cs="宋体"/>
          <w:color w:val="auto"/>
          <w:sz w:val="24"/>
          <w:highlight w:val="none"/>
        </w:rPr>
        <w:t>_</w:t>
      </w:r>
      <w:r>
        <w:rPr>
          <w:rFonts w:hint="eastAsia" w:ascii="宋体" w:hAnsi="宋体" w:cs="宋体"/>
          <w:color w:val="auto"/>
          <w:sz w:val="24"/>
          <w:highlight w:val="none"/>
          <w:u w:val="single"/>
        </w:rPr>
        <w:t>成都成粮蓉泰供应链管理有限公司</w:t>
      </w:r>
      <w:r>
        <w:rPr>
          <w:rFonts w:hint="eastAsia" w:ascii="宋体" w:hAnsi="宋体" w:cs="宋体"/>
          <w:color w:val="auto"/>
          <w:sz w:val="24"/>
          <w:highlight w:val="none"/>
        </w:rPr>
        <w:t>：</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我所（单位）作为本次比选项目的比选申请人，根据比选文件要求，现郑重承诺如下：</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完全接受和满足本项目比选文件中规定的实质性要求，如对比选文件有异议，已经在比选申请截止时间届满前依法进行维权救济，不存在对比选文件有异议的同时又参加比选以求侥幸中选或者为实现其他非法目的的行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二、国家或行业主管部门对参选人的技术标准、质量标准和资格资质条件等有强制性规定的，我方符合其要求。</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三、参加本次比选活动，不存在与单位负责人为同一人或者存在直接控股、管理关系的其他比选申请人参与同一合同项下的比选活动的行为。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四、参加本次比选活动，不存在和其他比选申请人在同一合同项下的比选项目中，同时委托同一个自然人、同一家庭的人员、同一单位的人员作为代理人的行为。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五、如果有记入诚信档案的失信行为，将在比选申请文件中全面如实反映。</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六、参选文件中提供的能够给比选人带来优惠、好处的任何材料资料和技术、服务、商务等响应承诺情况都是真实的、有效的、合法的。</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bCs/>
          <w:color w:val="auto"/>
          <w:sz w:val="24"/>
          <w:highlight w:val="none"/>
        </w:rPr>
        <w:t>具有独立承担民事责任的能力</w:t>
      </w:r>
      <w:r>
        <w:rPr>
          <w:rFonts w:hint="eastAsia" w:ascii="宋体" w:hAnsi="宋体" w:cs="宋体"/>
          <w:color w:val="auto"/>
          <w:sz w:val="24"/>
          <w:highlight w:val="none"/>
        </w:rPr>
        <w:t>。</w:t>
      </w:r>
    </w:p>
    <w:p>
      <w:pPr>
        <w:tabs>
          <w:tab w:val="left" w:pos="162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bCs/>
          <w:color w:val="auto"/>
          <w:sz w:val="24"/>
          <w:highlight w:val="none"/>
        </w:rPr>
        <w:t>具有良好的商业信誉和健全的财务会计制度</w:t>
      </w:r>
      <w:r>
        <w:rPr>
          <w:rFonts w:hint="eastAsia" w:ascii="宋体" w:hAnsi="宋体" w:cs="宋体"/>
          <w:color w:val="auto"/>
          <w:sz w:val="24"/>
          <w:highlight w:val="none"/>
        </w:rPr>
        <w:t>。</w:t>
      </w:r>
    </w:p>
    <w:p>
      <w:pPr>
        <w:tabs>
          <w:tab w:val="left" w:pos="1620"/>
        </w:tabs>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九、具有履行合同所必需的设备和专业技术能力；</w:t>
      </w:r>
    </w:p>
    <w:p>
      <w:pPr>
        <w:tabs>
          <w:tab w:val="left" w:pos="1620"/>
        </w:tabs>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十、有依法缴纳税收和社会保障资金的良好记录；</w:t>
      </w:r>
    </w:p>
    <w:p>
      <w:pPr>
        <w:tabs>
          <w:tab w:val="left" w:pos="1620"/>
        </w:tabs>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十一、参加本次采购活动前三年内，在经营活动中没有重大违法记录；</w:t>
      </w:r>
    </w:p>
    <w:p>
      <w:pPr>
        <w:tabs>
          <w:tab w:val="left" w:pos="1620"/>
        </w:tabs>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十二、符合法律、行政法规规定的其他条件；</w:t>
      </w:r>
    </w:p>
    <w:p>
      <w:pPr>
        <w:pStyle w:val="2"/>
        <w:spacing w:after="0" w:line="360" w:lineRule="auto"/>
        <w:ind w:firstLine="480" w:firstLineChars="200"/>
        <w:jc w:val="left"/>
        <w:rPr>
          <w:rFonts w:ascii="宋体" w:hAnsi="宋体" w:cs="宋体"/>
          <w:color w:val="auto"/>
          <w:sz w:val="24"/>
          <w:szCs w:val="32"/>
          <w:highlight w:val="none"/>
        </w:rPr>
      </w:pPr>
      <w:r>
        <w:rPr>
          <w:rFonts w:hint="eastAsia" w:ascii="宋体" w:hAnsi="宋体" w:cs="宋体"/>
          <w:color w:val="auto"/>
          <w:sz w:val="24"/>
          <w:szCs w:val="32"/>
          <w:highlight w:val="none"/>
        </w:rPr>
        <w:t>十三、参加本项目的比选申请人、法定代表人或主要负责人在前三年内无行贿犯罪记录。</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我所（单位）对上述承诺的内容事项真实性负责。如经查实上述承诺的内容事项存在虚假，我所（单位）愿意接受以提供虚假材料谋取中选而追究的法律责任。</w:t>
      </w:r>
    </w:p>
    <w:p>
      <w:pPr>
        <w:adjustRightInd w:val="0"/>
        <w:spacing w:line="360" w:lineRule="auto"/>
        <w:ind w:firstLine="480" w:firstLineChars="200"/>
        <w:jc w:val="left"/>
        <w:rPr>
          <w:rFonts w:ascii="宋体" w:hAnsi="宋体" w:cs="宋体"/>
          <w:bCs/>
          <w:color w:val="auto"/>
          <w:sz w:val="24"/>
          <w:highlight w:val="none"/>
        </w:rPr>
      </w:pPr>
    </w:p>
    <w:p>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80" w:lineRule="auto"/>
        <w:rPr>
          <w:rFonts w:ascii="宋体" w:hAnsi="宋体" w:cs="宋体"/>
          <w:color w:val="auto"/>
          <w:sz w:val="24"/>
          <w:highlight w:val="none"/>
        </w:rPr>
      </w:pPr>
      <w:r>
        <w:rPr>
          <w:rFonts w:hint="eastAsia" w:ascii="宋体" w:hAnsi="宋体" w:cs="宋体"/>
          <w:color w:val="auto"/>
          <w:sz w:val="24"/>
          <w:highlight w:val="none"/>
        </w:rPr>
        <w:br w:type="page"/>
      </w:r>
    </w:p>
    <w:p>
      <w:pPr>
        <w:pStyle w:val="4"/>
        <w:spacing w:line="360" w:lineRule="auto"/>
        <w:jc w:val="center"/>
        <w:rPr>
          <w:rFonts w:ascii="宋体" w:hAnsi="宋体" w:eastAsia="宋体" w:cs="宋体"/>
          <w:color w:val="auto"/>
          <w:highlight w:val="none"/>
        </w:rPr>
      </w:pPr>
      <w:bookmarkStart w:id="40" w:name="_Toc20970_WPSOffice_Level2"/>
      <w:r>
        <w:rPr>
          <w:rFonts w:hint="eastAsia" w:ascii="宋体" w:hAnsi="宋体" w:eastAsia="宋体" w:cs="宋体"/>
          <w:color w:val="auto"/>
          <w:szCs w:val="30"/>
          <w:highlight w:val="none"/>
        </w:rPr>
        <w:t>二、</w:t>
      </w:r>
      <w:bookmarkStart w:id="41" w:name="_Toc217446083"/>
      <w:r>
        <w:rPr>
          <w:rFonts w:hint="eastAsia" w:ascii="宋体" w:hAnsi="宋体" w:eastAsia="宋体" w:cs="宋体"/>
          <w:color w:val="auto"/>
          <w:highlight w:val="none"/>
        </w:rPr>
        <w:t>法定代表人授权书</w:t>
      </w:r>
      <w:bookmarkEnd w:id="40"/>
      <w:bookmarkEnd w:id="41"/>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成都成粮蓉泰供应链管理有限公司</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本授权声明：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（比选申请人名称）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（法定代表人或负责人姓名、职务）授权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（被授权人姓名、职务）为我方“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项目比选活动的合法代表，以我方名义全权处理该项目有关比选活动、签订合同以及执行合同等一切事宜。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pPr>
        <w:spacing w:line="360" w:lineRule="auto"/>
        <w:rPr>
          <w:rFonts w:ascii="宋体" w:hAnsi="宋体" w:cs="宋体"/>
          <w:color w:val="auto"/>
          <w:sz w:val="24"/>
          <w:szCs w:val="32"/>
          <w:highlight w:val="none"/>
        </w:rPr>
      </w:pPr>
    </w:p>
    <w:p>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附：（1）法定代表人有效身份证明材料正反面复印件</w:t>
      </w:r>
    </w:p>
    <w:p>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（2）授权代表有效身份证明材料正反面复印件</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法定代表人签字或盖个人名章：</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比选申请人名称：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before="312" w:beforeLines="100" w:after="312" w:afterLines="100" w:line="360" w:lineRule="auto"/>
        <w:jc w:val="center"/>
        <w:rPr>
          <w:rFonts w:ascii="宋体" w:hAnsi="宋体" w:cs="宋体"/>
          <w:b/>
          <w:color w:val="auto"/>
          <w:sz w:val="30"/>
          <w:szCs w:val="30"/>
          <w:highlight w:val="none"/>
        </w:rPr>
      </w:pPr>
    </w:p>
    <w:p>
      <w:pPr>
        <w:snapToGrid w:val="0"/>
        <w:spacing w:before="312" w:beforeLines="100" w:after="312" w:afterLines="100" w:line="360" w:lineRule="auto"/>
        <w:jc w:val="center"/>
        <w:rPr>
          <w:rFonts w:ascii="宋体" w:hAnsi="宋体" w:cs="宋体"/>
          <w:b/>
          <w:color w:val="auto"/>
          <w:sz w:val="30"/>
          <w:szCs w:val="30"/>
          <w:highlight w:val="none"/>
        </w:rPr>
      </w:pPr>
    </w:p>
    <w:p>
      <w:pPr>
        <w:spacing w:line="360" w:lineRule="auto"/>
        <w:rPr>
          <w:rFonts w:ascii="宋体" w:hAnsi="宋体" w:cs="宋体"/>
          <w:b/>
          <w:color w:val="auto"/>
          <w:sz w:val="24"/>
          <w:highlight w:val="none"/>
        </w:rPr>
      </w:pPr>
      <w:r>
        <w:rPr>
          <w:rFonts w:hint="eastAsia" w:ascii="宋体" w:hAnsi="宋体" w:cs="宋体"/>
          <w:color w:val="auto"/>
          <w:sz w:val="24"/>
          <w:highlight w:val="none"/>
        </w:rPr>
        <w:t>注：</w:t>
      </w:r>
      <w:r>
        <w:rPr>
          <w:rFonts w:hint="eastAsia" w:ascii="宋体" w:hAnsi="宋体" w:cs="宋体"/>
          <w:b/>
          <w:bCs/>
          <w:color w:val="auto"/>
          <w:sz w:val="24"/>
          <w:highlight w:val="none"/>
        </w:rPr>
        <w:t>1、</w:t>
      </w:r>
      <w:r>
        <w:rPr>
          <w:rFonts w:hint="eastAsia" w:ascii="宋体" w:hAnsi="宋体" w:cs="宋体"/>
          <w:b/>
          <w:color w:val="auto"/>
          <w:sz w:val="24"/>
          <w:highlight w:val="none"/>
        </w:rPr>
        <w:t>法定代表人不亲自参加比选，而授权代表参加比选的适用。</w:t>
      </w:r>
    </w:p>
    <w:p>
      <w:pPr>
        <w:pStyle w:val="8"/>
        <w:spacing w:line="360" w:lineRule="auto"/>
        <w:ind w:firstLine="482" w:firstLineChars="200"/>
        <w:rPr>
          <w:rFonts w:cs="宋体"/>
          <w:color w:val="auto"/>
          <w:sz w:val="24"/>
          <w:szCs w:val="24"/>
          <w:highlight w:val="none"/>
        </w:rPr>
      </w:pPr>
      <w:r>
        <w:rPr>
          <w:rFonts w:hint="eastAsia" w:cs="宋体"/>
          <w:b/>
          <w:color w:val="auto"/>
          <w:sz w:val="24"/>
          <w:szCs w:val="24"/>
          <w:highlight w:val="none"/>
        </w:rPr>
        <w:t>2、比选申请人为法人单位时提供“法定代表人授权书”，比选申请人为其他组织时提供“单位负责人授权书”，比选申请人为自然人时提供“自然人身份证明材料”。</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3、身份证明材料包括居民身份证或户口本或军官证或护照等。</w:t>
      </w:r>
    </w:p>
    <w:p>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4"/>
        <w:spacing w:line="360" w:lineRule="auto"/>
        <w:jc w:val="center"/>
        <w:rPr>
          <w:rFonts w:ascii="宋体" w:hAnsi="宋体" w:eastAsia="宋体" w:cs="宋体"/>
          <w:color w:val="auto"/>
          <w:highlight w:val="none"/>
        </w:rPr>
      </w:pPr>
      <w:r>
        <w:rPr>
          <w:rFonts w:hint="eastAsia" w:ascii="宋体" w:hAnsi="宋体" w:eastAsia="宋体" w:cs="宋体"/>
          <w:color w:val="auto"/>
          <w:szCs w:val="30"/>
          <w:highlight w:val="none"/>
        </w:rPr>
        <w:t>二、</w:t>
      </w:r>
      <w:r>
        <w:rPr>
          <w:rFonts w:hint="eastAsia" w:ascii="宋体" w:hAnsi="宋体" w:eastAsia="宋体" w:cs="宋体"/>
          <w:color w:val="auto"/>
          <w:highlight w:val="none"/>
        </w:rPr>
        <w:t>法定代表人证明书</w:t>
      </w:r>
    </w:p>
    <w:p>
      <w:pPr>
        <w:pStyle w:val="2"/>
        <w:tabs>
          <w:tab w:val="left" w:pos="1519"/>
          <w:tab w:val="left" w:pos="5419"/>
        </w:tabs>
        <w:spacing w:after="0"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pStyle w:val="2"/>
        <w:tabs>
          <w:tab w:val="left" w:pos="1519"/>
          <w:tab w:val="left" w:pos="5419"/>
        </w:tabs>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pStyle w:val="2"/>
        <w:tabs>
          <w:tab w:val="left" w:pos="1519"/>
          <w:tab w:val="left" w:pos="3079"/>
          <w:tab w:val="left" w:pos="4399"/>
          <w:tab w:val="left" w:pos="5719"/>
          <w:tab w:val="left" w:pos="7939"/>
        </w:tabs>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pPr>
        <w:pStyle w:val="2"/>
        <w:tabs>
          <w:tab w:val="left" w:pos="3295"/>
          <w:tab w:val="left" w:pos="4759"/>
          <w:tab w:val="left" w:pos="6871"/>
        </w:tabs>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本人系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(比选申请人名称)的法定代表人/单位负责人。就参加</w:t>
      </w:r>
      <w:r>
        <w:rPr>
          <w:rFonts w:hint="eastAsia" w:ascii="宋体" w:hAnsi="宋体" w:cs="宋体"/>
          <w:color w:val="auto"/>
          <w:spacing w:val="-16"/>
          <w:sz w:val="24"/>
          <w:highlight w:val="none"/>
        </w:rPr>
        <w:t>你</w:t>
      </w:r>
      <w:r>
        <w:rPr>
          <w:rFonts w:hint="eastAsia" w:ascii="宋体" w:hAnsi="宋体" w:cs="宋体"/>
          <w:color w:val="auto"/>
          <w:sz w:val="24"/>
          <w:highlight w:val="none"/>
        </w:rPr>
        <w:t>单位组织</w:t>
      </w:r>
      <w:r>
        <w:rPr>
          <w:rFonts w:hint="eastAsia" w:ascii="宋体" w:hAnsi="宋体" w:cs="宋体"/>
          <w:color w:val="auto"/>
          <w:spacing w:val="-24"/>
          <w:sz w:val="24"/>
          <w:highlight w:val="none"/>
        </w:rPr>
        <w:t>的</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(项目名称)(项目编号</w:t>
      </w:r>
      <w:r>
        <w:rPr>
          <w:rFonts w:hint="eastAsia" w:ascii="宋体" w:hAnsi="宋体" w:cs="宋体"/>
          <w:color w:val="auto"/>
          <w:spacing w:val="-24"/>
          <w:sz w:val="24"/>
          <w:highlight w:val="none"/>
        </w:rPr>
        <w:t>：</w:t>
      </w:r>
      <w:r>
        <w:rPr>
          <w:rFonts w:hint="eastAsia" w:ascii="宋体" w:hAnsi="宋体" w:cs="宋体"/>
          <w:color w:val="auto"/>
          <w:spacing w:val="-24"/>
          <w:sz w:val="24"/>
          <w:highlight w:val="none"/>
          <w:u w:val="single"/>
        </w:rPr>
        <w:t xml:space="preserve">         </w:t>
      </w:r>
      <w:r>
        <w:rPr>
          <w:rFonts w:hint="eastAsia" w:ascii="宋体" w:hAnsi="宋体" w:cs="宋体"/>
          <w:color w:val="auto"/>
          <w:spacing w:val="-24"/>
          <w:sz w:val="24"/>
          <w:highlight w:val="none"/>
          <w:u w:val="single"/>
        </w:rPr>
        <w:tab/>
      </w:r>
      <w:r>
        <w:rPr>
          <w:rFonts w:hint="eastAsia" w:ascii="宋体" w:hAnsi="宋体" w:cs="宋体"/>
          <w:color w:val="auto"/>
          <w:spacing w:val="-12"/>
          <w:sz w:val="24"/>
          <w:highlight w:val="none"/>
        </w:rPr>
        <w:t>)”</w:t>
      </w:r>
      <w:r>
        <w:rPr>
          <w:rFonts w:hint="eastAsia" w:ascii="宋体" w:hAnsi="宋体" w:cs="宋体"/>
          <w:color w:val="auto"/>
          <w:sz w:val="24"/>
          <w:highlight w:val="none"/>
        </w:rPr>
        <w:t>的比选活动</w:t>
      </w:r>
      <w:r>
        <w:rPr>
          <w:rFonts w:hint="eastAsia" w:ascii="宋体" w:hAnsi="宋体" w:cs="宋体"/>
          <w:color w:val="auto"/>
          <w:spacing w:val="-22"/>
          <w:sz w:val="24"/>
          <w:highlight w:val="none"/>
        </w:rPr>
        <w:t>、</w:t>
      </w:r>
      <w:r>
        <w:rPr>
          <w:rFonts w:hint="eastAsia" w:ascii="宋体" w:hAnsi="宋体" w:cs="宋体"/>
          <w:color w:val="auto"/>
          <w:sz w:val="24"/>
          <w:highlight w:val="none"/>
        </w:rPr>
        <w:t>合同签</w:t>
      </w:r>
      <w:r>
        <w:rPr>
          <w:rFonts w:hint="eastAsia" w:ascii="宋体" w:hAnsi="宋体" w:cs="宋体"/>
          <w:color w:val="auto"/>
          <w:spacing w:val="-16"/>
          <w:sz w:val="24"/>
          <w:highlight w:val="none"/>
        </w:rPr>
        <w:t>订</w:t>
      </w:r>
      <w:r>
        <w:rPr>
          <w:rFonts w:hint="eastAsia" w:ascii="宋体" w:hAnsi="宋体" w:cs="宋体"/>
          <w:color w:val="auto"/>
          <w:sz w:val="24"/>
          <w:highlight w:val="none"/>
        </w:rPr>
        <w:t>以及合同履约等一切事宜，我单位均予承认，所产生的法律后果均由我单位承担。</w:t>
      </w:r>
    </w:p>
    <w:p>
      <w:pPr>
        <w:pStyle w:val="2"/>
        <w:spacing w:before="1"/>
        <w:ind w:left="800"/>
        <w:rPr>
          <w:rFonts w:ascii="宋体" w:hAnsi="宋体" w:cs="宋体"/>
          <w:color w:val="auto"/>
          <w:sz w:val="24"/>
          <w:highlight w:val="none"/>
        </w:rPr>
      </w:pPr>
      <w:r>
        <w:rPr>
          <w:rFonts w:hint="eastAsia" w:ascii="宋体" w:hAnsi="宋体" w:cs="宋体"/>
          <w:color w:val="auto"/>
          <w:sz w:val="24"/>
          <w:highlight w:val="none"/>
        </w:rPr>
        <w:t>特此证明。</w:t>
      </w:r>
    </w:p>
    <w:p>
      <w:pPr>
        <w:spacing w:line="400" w:lineRule="exact"/>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附：（1）法定代表人有效身份证明材料正反面复印件</w:t>
      </w:r>
    </w:p>
    <w:p>
      <w:pPr>
        <w:pStyle w:val="2"/>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法定代表人（签字或加盖个人名章）：</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比选申请人名称：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rPr>
          <w:rFonts w:ascii="宋体" w:hAnsi="宋体" w:cs="宋体"/>
          <w:color w:val="auto"/>
          <w:highlight w:val="non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rPr>
      </w:pPr>
      <w:r>
        <w:rPr>
          <w:rFonts w:hint="eastAsia" w:ascii="宋体" w:hAnsi="宋体" w:cs="宋体"/>
          <w:color w:val="auto"/>
          <w:sz w:val="24"/>
          <w:highlight w:val="none"/>
        </w:rPr>
        <w:t>注：</w:t>
      </w:r>
      <w:r>
        <w:rPr>
          <w:rFonts w:hint="eastAsia" w:ascii="宋体" w:hAnsi="宋体" w:cs="宋体"/>
          <w:b/>
          <w:bCs/>
          <w:color w:val="auto"/>
          <w:sz w:val="24"/>
          <w:highlight w:val="none"/>
        </w:rPr>
        <w:t>1、</w:t>
      </w:r>
      <w:r>
        <w:rPr>
          <w:rFonts w:hint="eastAsia" w:ascii="宋体" w:hAnsi="宋体" w:cs="宋体"/>
          <w:b/>
          <w:color w:val="auto"/>
          <w:sz w:val="24"/>
          <w:highlight w:val="none"/>
        </w:rPr>
        <w:t>法定代表人亲自参加比选时适用本证明书。</w:t>
      </w:r>
    </w:p>
    <w:p>
      <w:pPr>
        <w:widowControl/>
        <w:spacing w:line="360" w:lineRule="atLeast"/>
        <w:jc w:val="left"/>
        <w:rPr>
          <w:rFonts w:ascii="宋体" w:hAnsi="宋体" w:cs="宋体"/>
          <w:b/>
          <w:color w:val="auto"/>
          <w:sz w:val="32"/>
          <w:highlight w:val="none"/>
        </w:rPr>
      </w:pPr>
      <w:r>
        <w:rPr>
          <w:rFonts w:hint="eastAsia" w:ascii="宋体" w:hAnsi="宋体" w:cs="宋体"/>
          <w:b/>
          <w:bCs/>
          <w:color w:val="auto"/>
          <w:sz w:val="24"/>
          <w:highlight w:val="none"/>
        </w:rPr>
        <w:t>2、身份证明材料包括居民身份证或户口本或军官证或护照等。</w:t>
      </w:r>
    </w:p>
    <w:p>
      <w:pPr>
        <w:snapToGrid w:val="0"/>
        <w:spacing w:before="312" w:beforeLines="100" w:after="312" w:afterLines="100"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4"/>
        <w:spacing w:line="360" w:lineRule="auto"/>
        <w:jc w:val="center"/>
        <w:rPr>
          <w:rFonts w:ascii="宋体" w:hAnsi="宋体" w:eastAsia="宋体" w:cs="宋体"/>
          <w:color w:val="auto"/>
          <w:highlight w:val="none"/>
        </w:rPr>
      </w:pPr>
      <w:bookmarkStart w:id="42" w:name="_Toc15136_WPSOffice_Level2"/>
      <w:r>
        <w:rPr>
          <w:rFonts w:hint="eastAsia" w:ascii="宋体" w:hAnsi="宋体" w:eastAsia="宋体" w:cs="宋体"/>
          <w:color w:val="auto"/>
          <w:highlight w:val="none"/>
        </w:rPr>
        <w:t>三、其他资格证明资料及相关说明等</w:t>
      </w:r>
      <w:bookmarkEnd w:id="42"/>
    </w:p>
    <w:p>
      <w:pPr>
        <w:adjustRightInd w:val="0"/>
        <w:snapToGrid w:val="0"/>
        <w:spacing w:after="156" w:afterLines="50" w:line="40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对照“第四章  比选申请人资格证明材料”</w:t>
      </w:r>
      <w:r>
        <w:rPr>
          <w:rFonts w:hint="eastAsia" w:ascii="宋体" w:hAnsi="宋体" w:cs="宋体"/>
          <w:color w:val="auto"/>
          <w:sz w:val="24"/>
          <w:highlight w:val="none"/>
          <w:lang w:eastAsia="zh-CN"/>
        </w:rPr>
        <w:t>和“第六章评选办法标准”的</w:t>
      </w:r>
      <w:r>
        <w:rPr>
          <w:rFonts w:hint="eastAsia" w:ascii="宋体" w:hAnsi="宋体" w:cs="宋体"/>
          <w:color w:val="auto"/>
          <w:sz w:val="24"/>
          <w:highlight w:val="none"/>
        </w:rPr>
        <w:t>具体要求提供。</w:t>
      </w:r>
    </w:p>
    <w:p>
      <w:pPr>
        <w:adjustRightInd w:val="0"/>
        <w:snapToGrid w:val="0"/>
        <w:spacing w:after="156" w:afterLines="50" w:line="400" w:lineRule="exact"/>
        <w:ind w:firstLine="480" w:firstLineChars="200"/>
        <w:rPr>
          <w:rFonts w:ascii="宋体" w:hAnsi="宋体" w:cs="宋体"/>
          <w:color w:val="auto"/>
          <w:sz w:val="24"/>
          <w:highlight w:val="none"/>
        </w:rPr>
      </w:pPr>
    </w:p>
    <w:p>
      <w:pPr>
        <w:spacing w:line="40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br w:type="page"/>
      </w:r>
      <w:bookmarkStart w:id="43" w:name="_Toc217446089"/>
    </w:p>
    <w:p>
      <w:pPr>
        <w:pStyle w:val="4"/>
        <w:spacing w:line="360" w:lineRule="auto"/>
        <w:jc w:val="center"/>
        <w:rPr>
          <w:rFonts w:ascii="宋体" w:hAnsi="宋体" w:eastAsia="宋体" w:cs="宋体"/>
          <w:color w:val="auto"/>
          <w:highlight w:val="none"/>
        </w:rPr>
      </w:pPr>
      <w:bookmarkStart w:id="44" w:name="_Toc1114_WPSOffice_Level2"/>
      <w:bookmarkStart w:id="45" w:name="_Toc7943_WPSOffice_Level2"/>
      <w:r>
        <w:rPr>
          <w:rFonts w:hint="eastAsia" w:ascii="宋体" w:hAnsi="宋体" w:eastAsia="宋体" w:cs="宋体"/>
          <w:color w:val="auto"/>
          <w:highlight w:val="none"/>
        </w:rPr>
        <w:t>四、报价函</w:t>
      </w:r>
      <w:bookmarkEnd w:id="44"/>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成都成粮蓉泰供应链管理有限公司</w:t>
      </w:r>
      <w:r>
        <w:rPr>
          <w:rFonts w:hint="eastAsia" w:ascii="宋体" w:hAnsi="宋体" w:cs="宋体"/>
          <w:color w:val="auto"/>
          <w:sz w:val="24"/>
          <w:highlight w:val="none"/>
        </w:rPr>
        <w:t>：</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我方全面研究了“</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”项目比选文件（比选编号：</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），决定参加贵单位组织的本项目比选。我方授权</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（姓名、职务）代表我方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（比选申请人的名称）全权处理本项目有关事宜。</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1、我方自愿按照比选文件规定的各项要求向比选人提供所需货物与服务，总价/单价报价为“报价一览表”中所述价格。</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2、一旦我方中选，我方将严格履行合同规定的责任和义务，保证于合同签字生效后按合同约定时间完成，并交付比选人验收、使用。</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3、我方为本项目提交的比选申请文件正本1份，副本1份。</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4、我方愿意提供贵单位可能另外要求的，与比选有关的文件资料，并保证我方已提供和将要提供的文件资料是真实、准确的。</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5、我方完全理解比选人不一定将合同授予最低报价的比选申请人的行为。</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6、我方承诺比选有效期为递交比选申请文件截止之日起</w:t>
      </w:r>
      <w:r>
        <w:rPr>
          <w:rFonts w:hint="eastAsia" w:ascii="宋体" w:hAnsi="宋体" w:cs="宋体"/>
          <w:bCs/>
          <w:color w:val="auto"/>
          <w:sz w:val="24"/>
          <w:highlight w:val="none"/>
          <w:u w:val="single"/>
        </w:rPr>
        <w:t>90</w:t>
      </w:r>
      <w:r>
        <w:rPr>
          <w:rFonts w:hint="eastAsia" w:ascii="宋体" w:hAnsi="宋体" w:cs="宋体"/>
          <w:bCs/>
          <w:color w:val="auto"/>
          <w:sz w:val="24"/>
          <w:highlight w:val="none"/>
        </w:rPr>
        <w:t>天。</w:t>
      </w:r>
    </w:p>
    <w:p>
      <w:pPr>
        <w:pStyle w:val="12"/>
        <w:spacing w:after="0" w:line="360" w:lineRule="auto"/>
        <w:ind w:left="0" w:leftChars="0"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7、我方承诺接受对本项目付款方式的要求。</w:t>
      </w:r>
    </w:p>
    <w:p>
      <w:pPr>
        <w:pStyle w:val="12"/>
        <w:spacing w:after="0" w:line="360" w:lineRule="auto"/>
        <w:ind w:left="0" w:leftChars="0" w:firstLine="480" w:firstLineChars="200"/>
        <w:jc w:val="left"/>
        <w:rPr>
          <w:rFonts w:ascii="宋体" w:hAnsi="宋体" w:cs="宋体"/>
          <w:bCs/>
          <w:color w:val="auto"/>
          <w:sz w:val="24"/>
          <w:highlight w:val="none"/>
        </w:rPr>
      </w:pPr>
    </w:p>
    <w:p>
      <w:pPr>
        <w:pStyle w:val="12"/>
        <w:spacing w:after="0" w:line="360" w:lineRule="auto"/>
        <w:ind w:left="0" w:leftChars="0" w:firstLine="480" w:firstLineChars="200"/>
        <w:jc w:val="left"/>
        <w:rPr>
          <w:rFonts w:ascii="宋体" w:hAnsi="宋体" w:cs="宋体"/>
          <w:bCs/>
          <w:color w:val="auto"/>
          <w:sz w:val="24"/>
          <w:highlight w:val="none"/>
        </w:rPr>
      </w:pPr>
    </w:p>
    <w:p>
      <w:pPr>
        <w:pStyle w:val="12"/>
        <w:spacing w:after="0" w:line="360" w:lineRule="auto"/>
        <w:ind w:left="0" w:leftChars="0" w:firstLine="480" w:firstLineChars="200"/>
        <w:jc w:val="left"/>
        <w:rPr>
          <w:rFonts w:ascii="宋体" w:hAnsi="宋体" w:cs="宋体"/>
          <w:bCs/>
          <w:color w:val="auto"/>
          <w:sz w:val="24"/>
          <w:highlight w:val="none"/>
        </w:rPr>
      </w:pPr>
    </w:p>
    <w:p>
      <w:pPr>
        <w:pStyle w:val="12"/>
        <w:spacing w:after="0" w:line="360" w:lineRule="auto"/>
        <w:ind w:left="0" w:leftChars="0" w:firstLine="480" w:firstLineChars="200"/>
        <w:jc w:val="left"/>
        <w:rPr>
          <w:rFonts w:ascii="宋体" w:hAnsi="宋体" w:cs="宋体"/>
          <w:bCs/>
          <w:color w:val="auto"/>
          <w:sz w:val="24"/>
          <w:highlight w:val="none"/>
        </w:rPr>
      </w:pP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outlineLvl w:val="1"/>
        <w:rPr>
          <w:rFonts w:ascii="宋体" w:hAnsi="宋体" w:cs="宋体"/>
          <w:b/>
          <w:bCs/>
          <w:color w:val="auto"/>
          <w:sz w:val="32"/>
          <w:szCs w:val="32"/>
          <w:highlight w:val="none"/>
        </w:rPr>
      </w:pPr>
      <w:r>
        <w:rPr>
          <w:rFonts w:hint="eastAsia" w:ascii="宋体" w:hAnsi="宋体" w:cs="宋体"/>
          <w:bCs/>
          <w:color w:val="auto"/>
          <w:sz w:val="24"/>
          <w:highlight w:val="none"/>
        </w:rPr>
        <w:br w:type="page"/>
      </w:r>
      <w:bookmarkStart w:id="46" w:name="_Toc217446086"/>
      <w:r>
        <w:rPr>
          <w:rFonts w:hint="eastAsia" w:ascii="宋体" w:hAnsi="宋体" w:cs="宋体"/>
          <w:b/>
          <w:bCs/>
          <w:color w:val="auto"/>
          <w:sz w:val="32"/>
          <w:szCs w:val="32"/>
          <w:highlight w:val="none"/>
        </w:rPr>
        <w:t>五、报价一览表</w:t>
      </w:r>
      <w:bookmarkEnd w:id="46"/>
    </w:p>
    <w:p>
      <w:pPr>
        <w:spacing w:line="400" w:lineRule="exact"/>
        <w:rPr>
          <w:rFonts w:ascii="宋体" w:hAnsi="宋体" w:cs="宋体"/>
          <w:color w:val="auto"/>
          <w:sz w:val="28"/>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成都成粮蓉泰供应链管理有限公司</w:t>
      </w:r>
      <w:r>
        <w:rPr>
          <w:rFonts w:hint="eastAsia" w:ascii="宋体" w:hAnsi="宋体" w:cs="宋体"/>
          <w:color w:val="auto"/>
          <w:sz w:val="24"/>
          <w:highlight w:val="none"/>
        </w:rPr>
        <w:t>：</w:t>
      </w:r>
    </w:p>
    <w:p>
      <w:pPr>
        <w:pStyle w:val="2"/>
        <w:spacing w:after="0" w:line="360" w:lineRule="auto"/>
        <w:ind w:firstLine="480"/>
        <w:rPr>
          <w:color w:val="auto"/>
          <w:sz w:val="24"/>
          <w:highlight w:val="none"/>
        </w:rPr>
      </w:pPr>
      <w:r>
        <w:rPr>
          <w:rFonts w:hint="eastAsia"/>
          <w:color w:val="auto"/>
          <w:sz w:val="24"/>
          <w:highlight w:val="none"/>
        </w:rPr>
        <w:t>关于</w:t>
      </w:r>
      <w:r>
        <w:rPr>
          <w:rFonts w:hint="eastAsia"/>
          <w:color w:val="auto"/>
          <w:sz w:val="24"/>
          <w:highlight w:val="none"/>
          <w:u w:val="single"/>
          <w:lang w:eastAsia="zh-CN"/>
        </w:rPr>
        <w:t>成都成粮蓉泰供应链管理有限公司法律诉讼服务采购项目第二次</w:t>
      </w:r>
      <w:r>
        <w:rPr>
          <w:rFonts w:hint="eastAsia"/>
          <w:color w:val="auto"/>
          <w:sz w:val="24"/>
          <w:highlight w:val="none"/>
        </w:rPr>
        <w:t>，我单位已充分了解该项目和比选人服务需求，</w:t>
      </w:r>
    </w:p>
    <w:p>
      <w:pPr>
        <w:pStyle w:val="2"/>
        <w:spacing w:after="0" w:line="360" w:lineRule="auto"/>
        <w:ind w:firstLine="480"/>
        <w:rPr>
          <w:color w:val="auto"/>
          <w:sz w:val="24"/>
          <w:highlight w:val="none"/>
        </w:rPr>
      </w:pPr>
      <w:r>
        <w:rPr>
          <w:rFonts w:hint="eastAsia"/>
          <w:color w:val="auto"/>
          <w:sz w:val="24"/>
          <w:highlight w:val="none"/>
        </w:rPr>
        <w:t>关于</w:t>
      </w:r>
      <w:r>
        <w:rPr>
          <w:rFonts w:hint="eastAsia" w:ascii="宋体" w:hAnsi="宋体" w:cs="宋体"/>
          <w:color w:val="auto"/>
          <w:sz w:val="24"/>
          <w:highlight w:val="none"/>
        </w:rPr>
        <w:t>比选控制价：为有效维护我单位合法权益，本次法律服务采购项目包含刑事</w:t>
      </w:r>
      <w:r>
        <w:rPr>
          <w:rFonts w:hint="eastAsia"/>
          <w:color w:val="auto"/>
          <w:sz w:val="24"/>
          <w:highlight w:val="none"/>
        </w:rPr>
        <w:t>控告、刑事自诉、民事诉讼三个方面工作，三个方面必须按先后顺序依次开展，比选人分阶段支付服务费用，最终合计支付总额不超过人民币</w:t>
      </w:r>
      <w:r>
        <w:rPr>
          <w:color w:val="auto"/>
          <w:sz w:val="24"/>
          <w:highlight w:val="none"/>
        </w:rPr>
        <w:t>50</w:t>
      </w:r>
      <w:r>
        <w:rPr>
          <w:rFonts w:hint="eastAsia"/>
          <w:color w:val="auto"/>
          <w:sz w:val="24"/>
          <w:highlight w:val="none"/>
        </w:rPr>
        <w:t>万元（不含），具体控价标准如下：</w:t>
      </w:r>
    </w:p>
    <w:p>
      <w:pPr>
        <w:pStyle w:val="2"/>
        <w:spacing w:after="0" w:line="360" w:lineRule="auto"/>
        <w:ind w:firstLine="480" w:firstLineChars="200"/>
        <w:rPr>
          <w:color w:val="auto"/>
          <w:sz w:val="24"/>
          <w:highlight w:val="none"/>
        </w:rPr>
      </w:pPr>
      <w:r>
        <w:rPr>
          <w:rFonts w:hint="eastAsia"/>
          <w:color w:val="auto"/>
          <w:sz w:val="24"/>
          <w:highlight w:val="none"/>
        </w:rPr>
        <w:t>一、刑事控告</w:t>
      </w:r>
    </w:p>
    <w:p>
      <w:pPr>
        <w:pStyle w:val="2"/>
        <w:spacing w:after="0" w:line="360" w:lineRule="auto"/>
        <w:ind w:firstLine="480"/>
        <w:rPr>
          <w:color w:val="auto"/>
          <w:sz w:val="24"/>
          <w:highlight w:val="none"/>
        </w:rPr>
      </w:pPr>
      <w:r>
        <w:rPr>
          <w:color w:val="auto"/>
          <w:sz w:val="24"/>
          <w:highlight w:val="none"/>
        </w:rPr>
        <w:t>1.</w:t>
      </w:r>
      <w:r>
        <w:rPr>
          <w:rFonts w:hint="eastAsia"/>
          <w:color w:val="auto"/>
          <w:sz w:val="24"/>
          <w:highlight w:val="none"/>
        </w:rPr>
        <w:t>基础法律服务费：</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元（不超过人民币</w:t>
      </w:r>
      <w:r>
        <w:rPr>
          <w:color w:val="auto"/>
          <w:sz w:val="24"/>
          <w:highlight w:val="none"/>
        </w:rPr>
        <w:t>12</w:t>
      </w:r>
      <w:r>
        <w:rPr>
          <w:rFonts w:hint="eastAsia"/>
          <w:color w:val="auto"/>
          <w:sz w:val="24"/>
          <w:highlight w:val="none"/>
        </w:rPr>
        <w:t>万元），大写：</w:t>
      </w:r>
      <w:r>
        <w:rPr>
          <w:rFonts w:hint="eastAsia"/>
          <w:color w:val="auto"/>
          <w:sz w:val="24"/>
          <w:highlight w:val="none"/>
          <w:u w:val="single"/>
        </w:rPr>
        <w:t xml:space="preserve">       </w:t>
      </w:r>
      <w:r>
        <w:rPr>
          <w:rFonts w:hint="eastAsia"/>
          <w:color w:val="auto"/>
          <w:sz w:val="24"/>
          <w:highlight w:val="none"/>
        </w:rPr>
        <w:t>元。于签订法律服务合同后支付4</w:t>
      </w:r>
      <w:r>
        <w:rPr>
          <w:color w:val="auto"/>
          <w:sz w:val="24"/>
          <w:highlight w:val="none"/>
        </w:rPr>
        <w:t>0%</w:t>
      </w:r>
      <w:r>
        <w:rPr>
          <w:rFonts w:hint="eastAsia"/>
          <w:color w:val="auto"/>
          <w:sz w:val="24"/>
          <w:highlight w:val="none"/>
        </w:rPr>
        <w:t>，向公安机关提交报案材料后支付</w:t>
      </w:r>
      <w:r>
        <w:rPr>
          <w:color w:val="auto"/>
          <w:sz w:val="24"/>
          <w:highlight w:val="none"/>
        </w:rPr>
        <w:t>60%</w:t>
      </w:r>
      <w:r>
        <w:rPr>
          <w:rFonts w:hint="eastAsia"/>
          <w:color w:val="auto"/>
          <w:sz w:val="24"/>
          <w:highlight w:val="none"/>
        </w:rPr>
        <w:t>，</w:t>
      </w:r>
    </w:p>
    <w:p>
      <w:pPr>
        <w:pStyle w:val="2"/>
        <w:spacing w:after="0" w:line="360" w:lineRule="auto"/>
        <w:ind w:firstLine="480"/>
        <w:rPr>
          <w:rFonts w:hint="eastAsia"/>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全过程法律服务费：</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元（不超过人民币</w:t>
      </w:r>
      <w:r>
        <w:rPr>
          <w:color w:val="auto"/>
          <w:sz w:val="24"/>
          <w:highlight w:val="none"/>
        </w:rPr>
        <w:t>23</w:t>
      </w:r>
      <w:r>
        <w:rPr>
          <w:rFonts w:hint="eastAsia"/>
          <w:color w:val="auto"/>
          <w:sz w:val="24"/>
          <w:highlight w:val="none"/>
        </w:rPr>
        <w:t>万元），大写：</w:t>
      </w:r>
      <w:r>
        <w:rPr>
          <w:rFonts w:hint="eastAsia"/>
          <w:color w:val="auto"/>
          <w:sz w:val="24"/>
          <w:highlight w:val="none"/>
          <w:u w:val="single"/>
        </w:rPr>
        <w:t xml:space="preserve">        </w:t>
      </w:r>
      <w:r>
        <w:rPr>
          <w:rFonts w:hint="eastAsia"/>
          <w:color w:val="auto"/>
          <w:sz w:val="24"/>
          <w:highlight w:val="none"/>
        </w:rPr>
        <w:t>元。于公安机关立案后支付，</w:t>
      </w:r>
      <w:r>
        <w:rPr>
          <w:rFonts w:hint="eastAsia"/>
          <w:color w:val="auto"/>
          <w:sz w:val="24"/>
          <w:highlight w:val="none"/>
          <w:lang w:eastAsia="zh-CN"/>
        </w:rPr>
        <w:t>比选申请人</w:t>
      </w:r>
      <w:r>
        <w:rPr>
          <w:rFonts w:hint="eastAsia"/>
          <w:color w:val="auto"/>
          <w:sz w:val="24"/>
          <w:highlight w:val="none"/>
        </w:rPr>
        <w:t>包括在公安机关侦查、检察机关审查起诉、提起公诉、人民法院刑事审判等阶段为我单位提供，与维护我单位权益相关的非诉讼法律服务。</w:t>
      </w:r>
    </w:p>
    <w:p>
      <w:pPr>
        <w:pStyle w:val="2"/>
        <w:spacing w:after="0" w:line="360" w:lineRule="auto"/>
        <w:ind w:firstLine="480"/>
        <w:rPr>
          <w:rFonts w:hint="eastAsia"/>
          <w:color w:val="auto"/>
          <w:sz w:val="24"/>
          <w:highlight w:val="none"/>
          <w:lang w:val="en-US" w:eastAsia="zh-CN"/>
        </w:rPr>
      </w:pPr>
      <w:r>
        <w:rPr>
          <w:rFonts w:hint="eastAsia"/>
          <w:color w:val="auto"/>
          <w:sz w:val="24"/>
          <w:highlight w:val="none"/>
        </w:rPr>
        <w:t>该阶段费用</w:t>
      </w:r>
      <w:r>
        <w:rPr>
          <w:rFonts w:hint="eastAsia"/>
          <w:color w:val="auto"/>
          <w:sz w:val="24"/>
          <w:highlight w:val="none"/>
          <w:lang w:val="en-US" w:eastAsia="zh-CN"/>
        </w:rPr>
        <w:t>总计</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不超过</w:t>
      </w:r>
      <w:r>
        <w:rPr>
          <w:rFonts w:hint="eastAsia"/>
          <w:color w:val="auto"/>
          <w:sz w:val="24"/>
          <w:highlight w:val="none"/>
        </w:rPr>
        <w:t>人民币</w:t>
      </w:r>
      <w:r>
        <w:rPr>
          <w:rFonts w:hint="eastAsia"/>
          <w:color w:val="auto"/>
          <w:sz w:val="24"/>
          <w:highlight w:val="none"/>
          <w:lang w:val="en-US" w:eastAsia="zh-CN"/>
        </w:rPr>
        <w:t>35万元），大写：</w:t>
      </w:r>
      <w:r>
        <w:rPr>
          <w:rFonts w:hint="eastAsia"/>
          <w:color w:val="auto"/>
          <w:sz w:val="24"/>
          <w:highlight w:val="none"/>
          <w:u w:val="single"/>
        </w:rPr>
        <w:t xml:space="preserve">        </w:t>
      </w:r>
      <w:r>
        <w:rPr>
          <w:rFonts w:hint="eastAsia"/>
          <w:color w:val="auto"/>
          <w:sz w:val="24"/>
          <w:highlight w:val="none"/>
        </w:rPr>
        <w:t>元</w:t>
      </w:r>
      <w:r>
        <w:rPr>
          <w:rFonts w:hint="eastAsia"/>
          <w:color w:val="auto"/>
          <w:sz w:val="24"/>
          <w:highlight w:val="none"/>
          <w:lang w:eastAsia="zh-CN"/>
        </w:rPr>
        <w:t>。</w:t>
      </w:r>
    </w:p>
    <w:p>
      <w:pPr>
        <w:pStyle w:val="2"/>
        <w:spacing w:after="0" w:line="360" w:lineRule="auto"/>
        <w:ind w:firstLine="480"/>
        <w:rPr>
          <w:color w:val="auto"/>
          <w:sz w:val="24"/>
          <w:highlight w:val="none"/>
        </w:rPr>
      </w:pPr>
      <w:r>
        <w:rPr>
          <w:rFonts w:hint="eastAsia"/>
          <w:color w:val="auto"/>
          <w:sz w:val="24"/>
          <w:highlight w:val="none"/>
        </w:rPr>
        <w:t>二、刑事自诉（附带民事诉讼）</w:t>
      </w:r>
    </w:p>
    <w:p>
      <w:pPr>
        <w:pStyle w:val="2"/>
        <w:spacing w:after="0" w:line="360" w:lineRule="auto"/>
        <w:ind w:firstLine="480"/>
        <w:rPr>
          <w:color w:val="auto"/>
          <w:sz w:val="24"/>
          <w:highlight w:val="none"/>
        </w:rPr>
      </w:pPr>
      <w:r>
        <w:rPr>
          <w:rFonts w:hint="eastAsia"/>
          <w:color w:val="auto"/>
          <w:sz w:val="24"/>
          <w:highlight w:val="none"/>
        </w:rPr>
        <w:t>若刑事控告在公安机关立案后，检察机关未提起公诉，或人民法院未认定嫌疑人构成犯罪的，由比选</w:t>
      </w:r>
      <w:r>
        <w:rPr>
          <w:rFonts w:hint="eastAsia"/>
          <w:color w:val="auto"/>
          <w:sz w:val="24"/>
          <w:highlight w:val="none"/>
          <w:lang w:eastAsia="zh-CN"/>
        </w:rPr>
        <w:t>申请</w:t>
      </w:r>
      <w:r>
        <w:rPr>
          <w:rFonts w:hint="eastAsia"/>
          <w:color w:val="auto"/>
          <w:sz w:val="24"/>
          <w:highlight w:val="none"/>
        </w:rPr>
        <w:t>人代理我单位通过刑事自诉（附带民事诉讼）程序维护权益，该阶段费用：</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元（不超过人民币1</w:t>
      </w:r>
      <w:r>
        <w:rPr>
          <w:color w:val="auto"/>
          <w:sz w:val="24"/>
          <w:highlight w:val="none"/>
        </w:rPr>
        <w:t>0</w:t>
      </w:r>
      <w:r>
        <w:rPr>
          <w:rFonts w:hint="eastAsia"/>
          <w:color w:val="auto"/>
          <w:sz w:val="24"/>
          <w:highlight w:val="none"/>
        </w:rPr>
        <w:t>万元），大写：</w:t>
      </w:r>
      <w:r>
        <w:rPr>
          <w:rFonts w:hint="eastAsia"/>
          <w:color w:val="auto"/>
          <w:sz w:val="24"/>
          <w:highlight w:val="none"/>
          <w:u w:val="single"/>
        </w:rPr>
        <w:t xml:space="preserve">        </w:t>
      </w:r>
      <w:r>
        <w:rPr>
          <w:rFonts w:hint="eastAsia"/>
          <w:color w:val="auto"/>
          <w:sz w:val="24"/>
          <w:highlight w:val="none"/>
        </w:rPr>
        <w:t>元。其中，一审阶段支付比例3</w:t>
      </w:r>
      <w:r>
        <w:rPr>
          <w:color w:val="auto"/>
          <w:sz w:val="24"/>
          <w:highlight w:val="none"/>
        </w:rPr>
        <w:t>0%</w:t>
      </w:r>
      <w:r>
        <w:rPr>
          <w:rFonts w:hint="eastAsia"/>
          <w:color w:val="auto"/>
          <w:sz w:val="24"/>
          <w:highlight w:val="none"/>
        </w:rPr>
        <w:t>，二审阶段支付比例3</w:t>
      </w:r>
      <w:r>
        <w:rPr>
          <w:color w:val="auto"/>
          <w:sz w:val="24"/>
          <w:highlight w:val="none"/>
        </w:rPr>
        <w:t>0%</w:t>
      </w:r>
      <w:r>
        <w:rPr>
          <w:rFonts w:hint="eastAsia"/>
          <w:color w:val="auto"/>
          <w:sz w:val="24"/>
          <w:highlight w:val="none"/>
        </w:rPr>
        <w:t>，执行阶段支付比例4</w:t>
      </w:r>
      <w:r>
        <w:rPr>
          <w:color w:val="auto"/>
          <w:sz w:val="24"/>
          <w:highlight w:val="none"/>
        </w:rPr>
        <w:t>0%</w:t>
      </w:r>
      <w:r>
        <w:rPr>
          <w:rFonts w:hint="eastAsia"/>
          <w:color w:val="auto"/>
          <w:sz w:val="24"/>
          <w:highlight w:val="none"/>
        </w:rPr>
        <w:t>。</w:t>
      </w:r>
    </w:p>
    <w:p>
      <w:pPr>
        <w:pStyle w:val="2"/>
        <w:spacing w:after="0" w:line="360" w:lineRule="auto"/>
        <w:ind w:firstLine="480" w:firstLineChars="200"/>
        <w:rPr>
          <w:color w:val="auto"/>
          <w:sz w:val="24"/>
          <w:highlight w:val="none"/>
        </w:rPr>
      </w:pPr>
      <w:r>
        <w:rPr>
          <w:rFonts w:hint="eastAsia"/>
          <w:color w:val="auto"/>
          <w:sz w:val="24"/>
          <w:highlight w:val="none"/>
        </w:rPr>
        <w:t>三、民事诉讼</w:t>
      </w:r>
    </w:p>
    <w:p>
      <w:pPr>
        <w:pStyle w:val="2"/>
        <w:spacing w:after="0" w:line="360" w:lineRule="auto"/>
        <w:ind w:firstLine="480" w:firstLineChars="200"/>
        <w:rPr>
          <w:color w:val="auto"/>
          <w:sz w:val="24"/>
          <w:highlight w:val="none"/>
        </w:rPr>
      </w:pPr>
      <w:r>
        <w:rPr>
          <w:rFonts w:hint="eastAsia"/>
          <w:color w:val="auto"/>
          <w:sz w:val="24"/>
          <w:highlight w:val="none"/>
        </w:rPr>
        <w:t>若刑事控告得到公安机关受理，但公安机关立案后，检察机关未提起公诉，或人民法院未认定嫌疑人构成犯罪的，后期提起刑事自诉（附带民事诉讼）案件在法院受理后也未支持我单位诉讼请求的，则由比选</w:t>
      </w:r>
      <w:r>
        <w:rPr>
          <w:rFonts w:hint="eastAsia"/>
          <w:color w:val="auto"/>
          <w:sz w:val="24"/>
          <w:highlight w:val="none"/>
          <w:lang w:eastAsia="zh-CN"/>
        </w:rPr>
        <w:t>申请</w:t>
      </w:r>
      <w:r>
        <w:rPr>
          <w:rFonts w:hint="eastAsia"/>
          <w:color w:val="auto"/>
          <w:sz w:val="24"/>
          <w:highlight w:val="none"/>
        </w:rPr>
        <w:t>人</w:t>
      </w:r>
      <w:r>
        <w:rPr>
          <w:rFonts w:hint="eastAsia"/>
          <w:color w:val="auto"/>
          <w:sz w:val="24"/>
          <w:highlight w:val="none"/>
          <w:lang w:val="en-US" w:eastAsia="zh-CN"/>
        </w:rPr>
        <w:t>另行</w:t>
      </w:r>
      <w:r>
        <w:rPr>
          <w:rFonts w:hint="eastAsia"/>
          <w:color w:val="auto"/>
          <w:sz w:val="24"/>
          <w:highlight w:val="none"/>
        </w:rPr>
        <w:t>通过民事诉讼程序维护我单位权益，该阶段费用：</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元（不超过人民币</w:t>
      </w:r>
      <w:r>
        <w:rPr>
          <w:rFonts w:hint="eastAsia"/>
          <w:color w:val="auto"/>
          <w:sz w:val="24"/>
          <w:highlight w:val="none"/>
          <w:lang w:val="en-US" w:eastAsia="zh-CN"/>
        </w:rPr>
        <w:t>5</w:t>
      </w:r>
      <w:r>
        <w:rPr>
          <w:rFonts w:hint="eastAsia"/>
          <w:color w:val="auto"/>
          <w:sz w:val="24"/>
          <w:highlight w:val="none"/>
        </w:rPr>
        <w:t>万元</w:t>
      </w:r>
      <w:r>
        <w:rPr>
          <w:rFonts w:hint="eastAsia"/>
          <w:color w:val="auto"/>
          <w:sz w:val="24"/>
          <w:highlight w:val="none"/>
          <w:lang w:eastAsia="zh-CN"/>
        </w:rPr>
        <w:t>（</w:t>
      </w:r>
      <w:r>
        <w:rPr>
          <w:rFonts w:hint="eastAsia"/>
          <w:color w:val="auto"/>
          <w:sz w:val="24"/>
          <w:highlight w:val="none"/>
          <w:lang w:val="en-US" w:eastAsia="zh-CN"/>
        </w:rPr>
        <w:t>不含</w:t>
      </w:r>
      <w:r>
        <w:rPr>
          <w:rFonts w:hint="eastAsia"/>
          <w:color w:val="auto"/>
          <w:sz w:val="24"/>
          <w:highlight w:val="none"/>
          <w:lang w:eastAsia="zh-CN"/>
        </w:rPr>
        <w:t>）</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元，其中，一审阶段支付比例</w:t>
      </w:r>
      <w:r>
        <w:rPr>
          <w:color w:val="auto"/>
          <w:sz w:val="24"/>
          <w:highlight w:val="none"/>
        </w:rPr>
        <w:t>20%</w:t>
      </w:r>
      <w:r>
        <w:rPr>
          <w:rFonts w:hint="eastAsia"/>
          <w:color w:val="auto"/>
          <w:sz w:val="24"/>
          <w:highlight w:val="none"/>
        </w:rPr>
        <w:t>，二审阶段支付比例</w:t>
      </w:r>
      <w:r>
        <w:rPr>
          <w:color w:val="auto"/>
          <w:sz w:val="24"/>
          <w:highlight w:val="none"/>
        </w:rPr>
        <w:t>20%</w:t>
      </w:r>
      <w:r>
        <w:rPr>
          <w:rFonts w:hint="eastAsia"/>
          <w:color w:val="auto"/>
          <w:sz w:val="24"/>
          <w:highlight w:val="none"/>
        </w:rPr>
        <w:t>，执行阶段支付比例</w:t>
      </w:r>
      <w:r>
        <w:rPr>
          <w:color w:val="auto"/>
          <w:sz w:val="24"/>
          <w:highlight w:val="none"/>
        </w:rPr>
        <w:t>60%</w:t>
      </w:r>
      <w:r>
        <w:rPr>
          <w:rFonts w:hint="eastAsia"/>
          <w:color w:val="auto"/>
          <w:sz w:val="24"/>
          <w:highlight w:val="none"/>
        </w:rPr>
        <w:t>（其中执行阶段按照风险代理模式付费，按照实际回款金额与申请执行金额的同比例支付执行阶段法律服务费），如有再审比选人不再支付费用。</w:t>
      </w:r>
    </w:p>
    <w:p>
      <w:pPr>
        <w:pStyle w:val="2"/>
        <w:adjustRightInd w:val="0"/>
        <w:spacing w:after="0" w:line="360" w:lineRule="auto"/>
        <w:ind w:firstLine="480" w:firstLineChars="200"/>
        <w:jc w:val="left"/>
        <w:rPr>
          <w:rFonts w:ascii="宋体" w:hAnsi="宋体" w:cs="宋体"/>
          <w:color w:val="auto"/>
          <w:sz w:val="24"/>
          <w:highlight w:val="none"/>
        </w:rPr>
      </w:pPr>
    </w:p>
    <w:p>
      <w:pPr>
        <w:rPr>
          <w:color w:val="auto"/>
          <w:highlight w:val="none"/>
        </w:rPr>
      </w:pPr>
      <w:r>
        <w:rPr>
          <w:rFonts w:hint="eastAsia" w:ascii="宋体" w:hAnsi="宋体" w:cs="宋体"/>
          <w:color w:val="auto"/>
          <w:sz w:val="24"/>
          <w:highlight w:val="none"/>
        </w:rPr>
        <w:t xml:space="preserve">    以上节点不能超过各阶段的限价，</w:t>
      </w:r>
      <w:r>
        <w:rPr>
          <w:rFonts w:hint="eastAsia"/>
          <w:color w:val="auto"/>
          <w:sz w:val="24"/>
          <w:highlight w:val="none"/>
        </w:rPr>
        <w:t>最终合计支付总额不超过人民币</w:t>
      </w:r>
      <w:r>
        <w:rPr>
          <w:color w:val="auto"/>
          <w:sz w:val="24"/>
          <w:highlight w:val="none"/>
        </w:rPr>
        <w:t>50</w:t>
      </w:r>
      <w:r>
        <w:rPr>
          <w:rFonts w:hint="eastAsia"/>
          <w:color w:val="auto"/>
          <w:sz w:val="24"/>
          <w:highlight w:val="none"/>
        </w:rPr>
        <w:t>万元（不含）。</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480" w:lineRule="auto"/>
        <w:ind w:firstLine="5520" w:firstLineChars="23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rPr>
          <w:rFonts w:ascii="宋体" w:hAnsi="宋体" w:cs="宋体"/>
          <w:color w:val="auto"/>
          <w:sz w:val="24"/>
          <w:highlight w:val="none"/>
        </w:rPr>
      </w:pPr>
      <w:r>
        <w:rPr>
          <w:rFonts w:hint="eastAsia" w:ascii="宋体" w:hAnsi="宋体" w:cs="宋体"/>
          <w:color w:val="auto"/>
          <w:sz w:val="24"/>
          <w:highlight w:val="none"/>
        </w:rPr>
        <w:br w:type="page"/>
      </w:r>
    </w:p>
    <w:p>
      <w:pPr>
        <w:pStyle w:val="4"/>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六、技术、服务要求应答表</w:t>
      </w:r>
      <w:bookmarkEnd w:id="45"/>
    </w:p>
    <w:p>
      <w:pPr>
        <w:pStyle w:val="30"/>
        <w:spacing w:line="360" w:lineRule="auto"/>
        <w:rPr>
          <w:rFonts w:ascii="宋体" w:hAnsi="宋体" w:cs="宋体"/>
          <w:color w:val="auto"/>
          <w:highlight w:val="none"/>
        </w:rPr>
      </w:pPr>
      <w:r>
        <w:rPr>
          <w:rFonts w:hint="eastAsia" w:ascii="宋体" w:hAnsi="宋体" w:cs="宋体"/>
          <w:color w:val="auto"/>
          <w:highlight w:val="none"/>
        </w:rPr>
        <w:t>项目名称：</w:t>
      </w:r>
    </w:p>
    <w:p>
      <w:pPr>
        <w:pStyle w:val="30"/>
        <w:spacing w:line="360" w:lineRule="auto"/>
        <w:rPr>
          <w:rFonts w:ascii="宋体" w:hAnsi="宋体" w:cs="宋体"/>
          <w:color w:val="auto"/>
          <w:highlight w:val="none"/>
        </w:rPr>
      </w:pPr>
      <w:r>
        <w:rPr>
          <w:rFonts w:hint="eastAsia" w:ascii="宋体" w:hAnsi="宋体" w:cs="宋体"/>
          <w:color w:val="auto"/>
          <w:highlight w:val="none"/>
        </w:rPr>
        <w:t>项目编号：</w:t>
      </w:r>
    </w:p>
    <w:tbl>
      <w:tblPr>
        <w:tblStyle w:val="19"/>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3689"/>
        <w:gridCol w:w="287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689" w:type="dxa"/>
            <w:vAlign w:val="center"/>
          </w:tcPr>
          <w:p>
            <w:pPr>
              <w:pStyle w:val="30"/>
              <w:ind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t>比选文件要求</w:t>
            </w:r>
          </w:p>
        </w:tc>
        <w:tc>
          <w:tcPr>
            <w:tcW w:w="2877" w:type="dxa"/>
            <w:vAlign w:val="center"/>
          </w:tcPr>
          <w:p>
            <w:pPr>
              <w:pStyle w:val="30"/>
              <w:jc w:val="center"/>
              <w:rPr>
                <w:rFonts w:ascii="宋体" w:hAnsi="宋体" w:cs="宋体"/>
                <w:color w:val="auto"/>
                <w:sz w:val="21"/>
                <w:szCs w:val="21"/>
                <w:highlight w:val="none"/>
              </w:rPr>
            </w:pPr>
            <w:r>
              <w:rPr>
                <w:rFonts w:hint="eastAsia" w:ascii="宋体" w:hAnsi="宋体" w:cs="宋体"/>
                <w:color w:val="auto"/>
                <w:sz w:val="21"/>
                <w:szCs w:val="21"/>
                <w:highlight w:val="none"/>
              </w:rPr>
              <w:t>比选申请文件应答</w:t>
            </w:r>
          </w:p>
        </w:tc>
        <w:tc>
          <w:tcPr>
            <w:tcW w:w="1438" w:type="dxa"/>
            <w:vAlign w:val="center"/>
          </w:tcPr>
          <w:p>
            <w:pPr>
              <w:pStyle w:val="30"/>
              <w:jc w:val="center"/>
              <w:rPr>
                <w:rFonts w:ascii="宋体" w:hAnsi="宋体" w:cs="宋体"/>
                <w:color w:val="auto"/>
                <w:sz w:val="21"/>
                <w:szCs w:val="21"/>
                <w:highlight w:val="none"/>
              </w:rPr>
            </w:pPr>
            <w:r>
              <w:rPr>
                <w:rFonts w:hint="eastAsia" w:ascii="宋体" w:hAnsi="宋体" w:cs="宋体"/>
                <w:color w:val="auto"/>
                <w:sz w:val="21"/>
                <w:szCs w:val="21"/>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30"/>
              <w:jc w:val="center"/>
              <w:rPr>
                <w:rFonts w:ascii="宋体" w:hAnsi="宋体" w:cs="宋体"/>
                <w:color w:val="auto"/>
                <w:sz w:val="21"/>
                <w:szCs w:val="21"/>
                <w:highlight w:val="none"/>
              </w:rPr>
            </w:pPr>
          </w:p>
        </w:tc>
        <w:tc>
          <w:tcPr>
            <w:tcW w:w="3689" w:type="dxa"/>
            <w:vAlign w:val="center"/>
          </w:tcPr>
          <w:p>
            <w:pPr>
              <w:pStyle w:val="30"/>
              <w:jc w:val="center"/>
              <w:rPr>
                <w:rFonts w:ascii="宋体" w:hAnsi="宋体" w:cs="宋体"/>
                <w:color w:val="auto"/>
                <w:sz w:val="21"/>
                <w:szCs w:val="21"/>
                <w:highlight w:val="none"/>
              </w:rPr>
            </w:pPr>
          </w:p>
        </w:tc>
        <w:tc>
          <w:tcPr>
            <w:tcW w:w="2877" w:type="dxa"/>
            <w:vAlign w:val="center"/>
          </w:tcPr>
          <w:p>
            <w:pPr>
              <w:pStyle w:val="30"/>
              <w:jc w:val="center"/>
              <w:rPr>
                <w:rFonts w:ascii="宋体" w:hAnsi="宋体" w:cs="宋体"/>
                <w:color w:val="auto"/>
                <w:sz w:val="21"/>
                <w:szCs w:val="21"/>
                <w:highlight w:val="none"/>
              </w:rPr>
            </w:pPr>
          </w:p>
        </w:tc>
        <w:tc>
          <w:tcPr>
            <w:tcW w:w="1438" w:type="dxa"/>
            <w:vAlign w:val="center"/>
          </w:tcPr>
          <w:p>
            <w:pPr>
              <w:pStyle w:val="30"/>
              <w:jc w:val="center"/>
              <w:rPr>
                <w:rFonts w:ascii="宋体" w:hAnsi="宋体" w:cs="宋体"/>
                <w:color w:val="auto"/>
                <w:sz w:val="21"/>
                <w:szCs w:val="21"/>
                <w:highlight w:val="none"/>
              </w:rPr>
            </w:pPr>
          </w:p>
        </w:tc>
      </w:tr>
    </w:tbl>
    <w:p>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注：比选申请人必须据实填写，不得虚假响应，如未填写，视为默认响应比选文件所有项目要求。</w:t>
      </w:r>
    </w:p>
    <w:p>
      <w:pPr>
        <w:pStyle w:val="2"/>
        <w:rPr>
          <w:rFonts w:ascii="宋体" w:hAnsi="宋体" w:cs="宋体"/>
          <w:color w:val="auto"/>
          <w:highlight w:val="none"/>
        </w:rPr>
      </w:pPr>
    </w:p>
    <w:p>
      <w:pPr>
        <w:rPr>
          <w:rFonts w:ascii="宋体" w:hAnsi="宋体" w:cs="宋体"/>
          <w:color w:val="auto"/>
          <w:highlight w:val="none"/>
        </w:rPr>
      </w:pP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pacing w:line="400" w:lineRule="exact"/>
        <w:ind w:firstLine="560" w:firstLineChars="200"/>
        <w:jc w:val="left"/>
        <w:rPr>
          <w:rFonts w:ascii="宋体" w:hAnsi="宋体" w:cs="宋体"/>
          <w:color w:val="auto"/>
          <w:sz w:val="28"/>
          <w:highlight w:val="none"/>
        </w:rPr>
      </w:pPr>
    </w:p>
    <w:p>
      <w:pPr>
        <w:pStyle w:val="2"/>
        <w:rPr>
          <w:rFonts w:ascii="宋体" w:hAnsi="宋体" w:cs="宋体"/>
          <w:color w:val="auto"/>
          <w:sz w:val="28"/>
          <w:highlight w:val="none"/>
        </w:rPr>
      </w:pPr>
    </w:p>
    <w:p>
      <w:pPr>
        <w:rPr>
          <w:color w:val="auto"/>
          <w:highlight w:val="none"/>
        </w:rPr>
        <w:sectPr>
          <w:headerReference r:id="rId4" w:type="default"/>
          <w:footerReference r:id="rId5" w:type="default"/>
          <w:type w:val="nextColumn"/>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360" w:lineRule="auto"/>
        <w:jc w:val="center"/>
        <w:rPr>
          <w:rFonts w:ascii="宋体" w:hAnsi="宋体" w:eastAsia="宋体" w:cs="宋体"/>
          <w:color w:val="auto"/>
          <w:sz w:val="24"/>
          <w:highlight w:val="none"/>
        </w:rPr>
      </w:pPr>
      <w:bookmarkStart w:id="47" w:name="_Toc7457_WPSOffice_Level2"/>
      <w:r>
        <w:rPr>
          <w:rFonts w:hint="eastAsia" w:ascii="宋体" w:hAnsi="宋体" w:eastAsia="宋体" w:cs="宋体"/>
          <w:color w:val="auto"/>
          <w:highlight w:val="none"/>
        </w:rPr>
        <w:t>七、商务要求应答表</w:t>
      </w:r>
      <w:bookmarkEnd w:id="47"/>
    </w:p>
    <w:p>
      <w:pPr>
        <w:pStyle w:val="30"/>
        <w:spacing w:line="360" w:lineRule="auto"/>
        <w:rPr>
          <w:rFonts w:ascii="宋体" w:hAnsi="宋体" w:cs="宋体"/>
          <w:color w:val="auto"/>
          <w:highlight w:val="none"/>
        </w:rPr>
      </w:pPr>
      <w:r>
        <w:rPr>
          <w:rFonts w:hint="eastAsia" w:ascii="宋体" w:hAnsi="宋体" w:cs="宋体"/>
          <w:color w:val="auto"/>
          <w:highlight w:val="none"/>
        </w:rPr>
        <w:t>项目名称：</w:t>
      </w:r>
    </w:p>
    <w:p>
      <w:pPr>
        <w:pStyle w:val="30"/>
        <w:spacing w:line="360" w:lineRule="auto"/>
        <w:rPr>
          <w:rFonts w:ascii="宋体" w:hAnsi="宋体" w:cs="宋体"/>
          <w:color w:val="auto"/>
          <w:highlight w:val="none"/>
        </w:rPr>
      </w:pPr>
      <w:r>
        <w:rPr>
          <w:rFonts w:hint="eastAsia" w:ascii="宋体" w:hAnsi="宋体" w:cs="宋体"/>
          <w:color w:val="auto"/>
          <w:highlight w:val="none"/>
        </w:rPr>
        <w:t>项目编号：</w:t>
      </w:r>
    </w:p>
    <w:tbl>
      <w:tblPr>
        <w:tblStyle w:val="19"/>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565"/>
        <w:gridCol w:w="327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565"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比选文件要求</w:t>
            </w:r>
          </w:p>
        </w:tc>
        <w:tc>
          <w:tcPr>
            <w:tcW w:w="3275"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比选申请文件应答</w:t>
            </w:r>
          </w:p>
        </w:tc>
        <w:tc>
          <w:tcPr>
            <w:tcW w:w="154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565" w:type="dxa"/>
            <w:vAlign w:val="center"/>
          </w:tcPr>
          <w:p>
            <w:pPr>
              <w:snapToGrid w:val="0"/>
              <w:jc w:val="center"/>
              <w:rPr>
                <w:rFonts w:ascii="宋体" w:hAnsi="宋体" w:cs="宋体"/>
                <w:color w:val="auto"/>
                <w:szCs w:val="21"/>
                <w:highlight w:val="none"/>
              </w:rPr>
            </w:pPr>
          </w:p>
        </w:tc>
        <w:tc>
          <w:tcPr>
            <w:tcW w:w="3275" w:type="dxa"/>
            <w:vAlign w:val="center"/>
          </w:tcPr>
          <w:p>
            <w:pPr>
              <w:snapToGrid w:val="0"/>
              <w:jc w:val="center"/>
              <w:rPr>
                <w:rFonts w:ascii="宋体" w:hAnsi="宋体" w:cs="宋体"/>
                <w:color w:val="auto"/>
                <w:szCs w:val="21"/>
                <w:highlight w:val="none"/>
              </w:rPr>
            </w:pPr>
          </w:p>
        </w:tc>
        <w:tc>
          <w:tcPr>
            <w:tcW w:w="1541" w:type="dxa"/>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565" w:type="dxa"/>
            <w:vAlign w:val="center"/>
          </w:tcPr>
          <w:p>
            <w:pPr>
              <w:snapToGrid w:val="0"/>
              <w:jc w:val="center"/>
              <w:rPr>
                <w:rFonts w:ascii="宋体" w:hAnsi="宋体" w:cs="宋体"/>
                <w:color w:val="auto"/>
                <w:szCs w:val="21"/>
                <w:highlight w:val="none"/>
              </w:rPr>
            </w:pPr>
          </w:p>
        </w:tc>
        <w:tc>
          <w:tcPr>
            <w:tcW w:w="3275" w:type="dxa"/>
            <w:vAlign w:val="center"/>
          </w:tcPr>
          <w:p>
            <w:pPr>
              <w:snapToGrid w:val="0"/>
              <w:jc w:val="center"/>
              <w:rPr>
                <w:rFonts w:ascii="宋体" w:hAnsi="宋体" w:cs="宋体"/>
                <w:color w:val="auto"/>
                <w:szCs w:val="21"/>
                <w:highlight w:val="none"/>
              </w:rPr>
            </w:pPr>
          </w:p>
        </w:tc>
        <w:tc>
          <w:tcPr>
            <w:tcW w:w="1541" w:type="dxa"/>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565" w:type="dxa"/>
            <w:vAlign w:val="center"/>
          </w:tcPr>
          <w:p>
            <w:pPr>
              <w:snapToGrid w:val="0"/>
              <w:jc w:val="center"/>
              <w:rPr>
                <w:rFonts w:ascii="宋体" w:hAnsi="宋体" w:cs="宋体"/>
                <w:color w:val="auto"/>
                <w:szCs w:val="21"/>
                <w:highlight w:val="none"/>
              </w:rPr>
            </w:pPr>
          </w:p>
        </w:tc>
        <w:tc>
          <w:tcPr>
            <w:tcW w:w="3275" w:type="dxa"/>
            <w:vAlign w:val="center"/>
          </w:tcPr>
          <w:p>
            <w:pPr>
              <w:snapToGrid w:val="0"/>
              <w:jc w:val="center"/>
              <w:rPr>
                <w:rFonts w:ascii="宋体" w:hAnsi="宋体" w:cs="宋体"/>
                <w:color w:val="auto"/>
                <w:szCs w:val="21"/>
                <w:highlight w:val="none"/>
              </w:rPr>
            </w:pPr>
          </w:p>
        </w:tc>
        <w:tc>
          <w:tcPr>
            <w:tcW w:w="1541" w:type="dxa"/>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565" w:type="dxa"/>
            <w:vAlign w:val="center"/>
          </w:tcPr>
          <w:p>
            <w:pPr>
              <w:snapToGrid w:val="0"/>
              <w:jc w:val="center"/>
              <w:rPr>
                <w:rFonts w:ascii="宋体" w:hAnsi="宋体" w:cs="宋体"/>
                <w:color w:val="auto"/>
                <w:szCs w:val="21"/>
                <w:highlight w:val="none"/>
              </w:rPr>
            </w:pPr>
          </w:p>
        </w:tc>
        <w:tc>
          <w:tcPr>
            <w:tcW w:w="3275" w:type="dxa"/>
            <w:vAlign w:val="center"/>
          </w:tcPr>
          <w:p>
            <w:pPr>
              <w:snapToGrid w:val="0"/>
              <w:jc w:val="center"/>
              <w:rPr>
                <w:rFonts w:ascii="宋体" w:hAnsi="宋体" w:cs="宋体"/>
                <w:color w:val="auto"/>
                <w:szCs w:val="21"/>
                <w:highlight w:val="none"/>
              </w:rPr>
            </w:pPr>
          </w:p>
        </w:tc>
        <w:tc>
          <w:tcPr>
            <w:tcW w:w="1541" w:type="dxa"/>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565" w:type="dxa"/>
            <w:vAlign w:val="center"/>
          </w:tcPr>
          <w:p>
            <w:pPr>
              <w:snapToGrid w:val="0"/>
              <w:jc w:val="center"/>
              <w:rPr>
                <w:rFonts w:ascii="宋体" w:hAnsi="宋体" w:cs="宋体"/>
                <w:color w:val="auto"/>
                <w:szCs w:val="21"/>
                <w:highlight w:val="none"/>
              </w:rPr>
            </w:pPr>
          </w:p>
        </w:tc>
        <w:tc>
          <w:tcPr>
            <w:tcW w:w="3275" w:type="dxa"/>
            <w:vAlign w:val="center"/>
          </w:tcPr>
          <w:p>
            <w:pPr>
              <w:snapToGrid w:val="0"/>
              <w:jc w:val="center"/>
              <w:rPr>
                <w:rFonts w:ascii="宋体" w:hAnsi="宋体" w:cs="宋体"/>
                <w:color w:val="auto"/>
                <w:szCs w:val="21"/>
                <w:highlight w:val="none"/>
              </w:rPr>
            </w:pPr>
          </w:p>
        </w:tc>
        <w:tc>
          <w:tcPr>
            <w:tcW w:w="1541" w:type="dxa"/>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3565" w:type="dxa"/>
            <w:vAlign w:val="center"/>
          </w:tcPr>
          <w:p>
            <w:pPr>
              <w:snapToGrid w:val="0"/>
              <w:jc w:val="center"/>
              <w:rPr>
                <w:rFonts w:ascii="宋体" w:hAnsi="宋体" w:cs="宋体"/>
                <w:color w:val="auto"/>
                <w:szCs w:val="21"/>
                <w:highlight w:val="none"/>
              </w:rPr>
            </w:pPr>
          </w:p>
        </w:tc>
        <w:tc>
          <w:tcPr>
            <w:tcW w:w="3275" w:type="dxa"/>
            <w:vAlign w:val="center"/>
          </w:tcPr>
          <w:p>
            <w:pPr>
              <w:snapToGrid w:val="0"/>
              <w:jc w:val="center"/>
              <w:rPr>
                <w:rFonts w:ascii="宋体" w:hAnsi="宋体" w:cs="宋体"/>
                <w:color w:val="auto"/>
                <w:szCs w:val="21"/>
                <w:highlight w:val="none"/>
              </w:rPr>
            </w:pPr>
          </w:p>
        </w:tc>
        <w:tc>
          <w:tcPr>
            <w:tcW w:w="1541" w:type="dxa"/>
            <w:vAlign w:val="center"/>
          </w:tcPr>
          <w:p>
            <w:pPr>
              <w:snapToGrid w:val="0"/>
              <w:jc w:val="center"/>
              <w:rPr>
                <w:rFonts w:ascii="宋体" w:hAnsi="宋体" w:cs="宋体"/>
                <w:color w:val="auto"/>
                <w:szCs w:val="21"/>
                <w:highlight w:val="none"/>
              </w:rPr>
            </w:pPr>
          </w:p>
        </w:tc>
      </w:tr>
    </w:tbl>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注：比选申请人必须据实填写，不得虚假响应，如未填写，视为默认响应比选文件所有商务要求。</w:t>
      </w:r>
    </w:p>
    <w:p>
      <w:pPr>
        <w:spacing w:line="400" w:lineRule="exact"/>
        <w:ind w:left="600" w:leftChars="57" w:hanging="480" w:hangingChars="200"/>
        <w:rPr>
          <w:rFonts w:ascii="宋体" w:hAnsi="宋体" w:cs="宋体"/>
          <w:color w:val="auto"/>
          <w:sz w:val="24"/>
          <w:highlight w:val="none"/>
        </w:rPr>
      </w:pPr>
    </w:p>
    <w:p>
      <w:pPr>
        <w:spacing w:line="400" w:lineRule="exact"/>
        <w:ind w:left="600" w:leftChars="57" w:hanging="480" w:hangingChars="200"/>
        <w:rPr>
          <w:rFonts w:ascii="宋体" w:hAnsi="宋体" w:cs="宋体"/>
          <w:color w:val="auto"/>
          <w:sz w:val="24"/>
          <w:highlight w:val="none"/>
        </w:rPr>
      </w:pPr>
    </w:p>
    <w:p>
      <w:pPr>
        <w:spacing w:line="400" w:lineRule="exact"/>
        <w:ind w:left="600" w:leftChars="57" w:hanging="480" w:hangingChars="200"/>
        <w:rPr>
          <w:rFonts w:ascii="宋体" w:hAnsi="宋体" w:cs="宋体"/>
          <w:color w:val="auto"/>
          <w:sz w:val="24"/>
          <w:highlight w:val="none"/>
        </w:rPr>
      </w:pP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00" w:lineRule="exact"/>
        <w:ind w:left="540" w:leftChars="57" w:hanging="420" w:hangingChars="200"/>
        <w:rPr>
          <w:rFonts w:ascii="宋体" w:hAnsi="宋体" w:cs="宋体"/>
          <w:color w:val="auto"/>
          <w:szCs w:val="21"/>
          <w:highlight w:val="none"/>
        </w:rPr>
      </w:pPr>
      <w:r>
        <w:rPr>
          <w:rFonts w:hint="eastAsia" w:ascii="宋体" w:hAnsi="宋体" w:cs="宋体"/>
          <w:color w:val="auto"/>
          <w:szCs w:val="21"/>
          <w:highlight w:val="none"/>
        </w:rPr>
        <w:br w:type="page"/>
      </w:r>
    </w:p>
    <w:p>
      <w:pPr>
        <w:pStyle w:val="4"/>
        <w:spacing w:line="360" w:lineRule="auto"/>
        <w:jc w:val="center"/>
        <w:rPr>
          <w:rFonts w:ascii="宋体" w:hAnsi="宋体" w:eastAsia="宋体" w:cs="宋体"/>
          <w:color w:val="auto"/>
          <w:szCs w:val="21"/>
          <w:highlight w:val="none"/>
        </w:rPr>
      </w:pPr>
      <w:bookmarkStart w:id="48" w:name="_Toc25827_WPSOffice_Level2"/>
      <w:r>
        <w:rPr>
          <w:rFonts w:hint="eastAsia" w:ascii="宋体" w:hAnsi="宋体" w:eastAsia="宋体" w:cs="宋体"/>
          <w:color w:val="auto"/>
          <w:highlight w:val="none"/>
        </w:rPr>
        <w:t>八、比选申请人主要情况表</w:t>
      </w:r>
      <w:bookmarkEnd w:id="48"/>
    </w:p>
    <w:p>
      <w:pPr>
        <w:adjustRightInd w:val="0"/>
        <w:snapToGrid/>
        <w:spacing w:line="360" w:lineRule="auto"/>
        <w:ind w:firstLine="480" w:firstLineChars="200"/>
        <w:jc w:val="left"/>
        <w:rPr>
          <w:rFonts w:hint="eastAsia" w:ascii="新宋体" w:hAnsi="新宋体" w:eastAsia="新宋体" w:cs="Times New Roman"/>
          <w:bCs w:val="0"/>
          <w:color w:val="auto"/>
          <w:sz w:val="24"/>
          <w:szCs w:val="24"/>
          <w:highlight w:val="none"/>
          <w:lang w:eastAsia="zh-CN"/>
        </w:rPr>
      </w:pPr>
      <w:r>
        <w:rPr>
          <w:rFonts w:hint="eastAsia" w:ascii="新宋体" w:hAnsi="新宋体" w:eastAsia="新宋体" w:cs="Times New Roman"/>
          <w:bCs w:val="0"/>
          <w:color w:val="auto"/>
          <w:sz w:val="24"/>
          <w:szCs w:val="24"/>
          <w:highlight w:val="none"/>
          <w:lang w:eastAsia="zh-CN"/>
        </w:rPr>
        <w:t>本部分须包含</w:t>
      </w:r>
      <w:r>
        <w:rPr>
          <w:rFonts w:hint="eastAsia" w:ascii="新宋体" w:hAnsi="新宋体" w:eastAsia="新宋体" w:cs="Times New Roman"/>
          <w:bCs w:val="0"/>
          <w:color w:val="auto"/>
          <w:sz w:val="24"/>
          <w:highlight w:val="none"/>
        </w:rPr>
        <w:t>拟</w:t>
      </w:r>
      <w:r>
        <w:rPr>
          <w:rFonts w:hint="eastAsia" w:ascii="新宋体" w:hAnsi="新宋体" w:eastAsia="新宋体" w:cs="Times New Roman"/>
          <w:color w:val="auto"/>
          <w:sz w:val="24"/>
          <w:highlight w:val="none"/>
        </w:rPr>
        <w:t>配备本项目管理、技术、服务人员情况表（</w:t>
      </w:r>
      <w:r>
        <w:rPr>
          <w:rFonts w:hint="eastAsia" w:ascii="新宋体" w:hAnsi="新宋体" w:eastAsia="新宋体" w:cs="Times New Roman"/>
          <w:color w:val="auto"/>
          <w:sz w:val="24"/>
          <w:highlight w:val="none"/>
          <w:lang w:eastAsia="zh-CN"/>
        </w:rPr>
        <w:t>按以下固定格式</w:t>
      </w:r>
      <w:r>
        <w:rPr>
          <w:rFonts w:hint="eastAsia" w:ascii="新宋体" w:hAnsi="新宋体" w:eastAsia="新宋体" w:cs="Times New Roman"/>
          <w:color w:val="auto"/>
          <w:sz w:val="24"/>
          <w:highlight w:val="none"/>
        </w:rPr>
        <w:t>）</w:t>
      </w:r>
      <w:r>
        <w:rPr>
          <w:rFonts w:hint="eastAsia" w:ascii="新宋体" w:hAnsi="新宋体" w:eastAsia="新宋体" w:cs="Times New Roman"/>
          <w:color w:val="auto"/>
          <w:sz w:val="24"/>
          <w:highlight w:val="none"/>
          <w:lang w:eastAsia="zh-CN"/>
        </w:rPr>
        <w:t>和其他比选人情况（格式不限）。请参照第六章评选办法评分细则要求准备。</w:t>
      </w:r>
      <w:r>
        <w:rPr>
          <w:rFonts w:hint="eastAsia" w:ascii="新宋体" w:hAnsi="新宋体" w:eastAsia="新宋体" w:cs="Times New Roman"/>
          <w:bCs w:val="0"/>
          <w:color w:val="auto"/>
          <w:sz w:val="24"/>
          <w:szCs w:val="24"/>
          <w:highlight w:val="none"/>
        </w:rPr>
        <w:t>本情况表分刑事诉讼团队和民事诉讼团队，请分开填写。</w:t>
      </w:r>
    </w:p>
    <w:p>
      <w:pPr>
        <w:adjustRightInd w:val="0"/>
        <w:spacing w:line="360" w:lineRule="auto"/>
        <w:ind w:firstLine="480" w:firstLineChars="200"/>
        <w:jc w:val="left"/>
        <w:rPr>
          <w:rFonts w:hint="eastAsia" w:ascii="新宋体" w:hAnsi="新宋体" w:eastAsia="新宋体"/>
          <w:b w:val="0"/>
          <w:bCs w:val="0"/>
          <w:color w:val="auto"/>
          <w:sz w:val="24"/>
          <w:highlight w:val="none"/>
        </w:rPr>
      </w:pPr>
      <w:r>
        <w:rPr>
          <w:rFonts w:hint="eastAsia" w:ascii="新宋体" w:hAnsi="新宋体" w:eastAsia="新宋体"/>
          <w:b w:val="0"/>
          <w:bCs w:val="0"/>
          <w:color w:val="auto"/>
          <w:sz w:val="24"/>
          <w:highlight w:val="none"/>
        </w:rPr>
        <w:t>一、刑事律师团队人员配备</w:t>
      </w:r>
    </w:p>
    <w:p>
      <w:pPr>
        <w:snapToGrid w:val="0"/>
        <w:spacing w:line="360" w:lineRule="auto"/>
        <w:rPr>
          <w:rFonts w:ascii="宋体" w:hAnsi="宋体" w:cs="仿宋_GB2312"/>
          <w:bCs/>
          <w:color w:val="auto"/>
          <w:szCs w:val="21"/>
          <w:highlight w:val="none"/>
          <w:u w:val="single"/>
        </w:rPr>
      </w:pPr>
      <w:r>
        <w:rPr>
          <w:rFonts w:hint="eastAsia" w:ascii="宋体" w:hAnsi="宋体" w:cs="仿宋_GB2312"/>
          <w:bCs/>
          <w:color w:val="auto"/>
          <w:szCs w:val="21"/>
          <w:highlight w:val="none"/>
        </w:rPr>
        <w:t>项目名称：</w:t>
      </w:r>
      <w:r>
        <w:rPr>
          <w:rFonts w:hint="eastAsia" w:ascii="宋体" w:hAnsi="宋体"/>
          <w:bCs/>
          <w:color w:val="auto"/>
          <w:sz w:val="24"/>
          <w:highlight w:val="none"/>
          <w:u w:val="single"/>
        </w:rPr>
        <w:t xml:space="preserve">            </w:t>
      </w:r>
    </w:p>
    <w:p>
      <w:pPr>
        <w:snapToGrid w:val="0"/>
        <w:spacing w:line="360" w:lineRule="auto"/>
        <w:rPr>
          <w:rFonts w:ascii="宋体" w:hAnsi="宋体" w:cs="仿宋_GB2312"/>
          <w:bCs/>
          <w:color w:val="auto"/>
          <w:szCs w:val="21"/>
          <w:highlight w:val="none"/>
        </w:rPr>
      </w:pPr>
      <w:r>
        <w:rPr>
          <w:rFonts w:hint="eastAsia" w:ascii="宋体" w:hAnsi="宋体" w:cs="仿宋_GB2312"/>
          <w:bCs/>
          <w:color w:val="auto"/>
          <w:szCs w:val="21"/>
          <w:highlight w:val="none"/>
        </w:rPr>
        <w:t>项目编号：</w:t>
      </w:r>
      <w:r>
        <w:rPr>
          <w:rFonts w:hint="eastAsia" w:ascii="宋体" w:hAnsi="宋体"/>
          <w:bCs/>
          <w:color w:val="auto"/>
          <w:sz w:val="24"/>
          <w:highlight w:val="none"/>
          <w:u w:val="single"/>
        </w:rPr>
        <w:t xml:space="preserve">            </w:t>
      </w:r>
    </w:p>
    <w:tbl>
      <w:tblPr>
        <w:tblStyle w:val="19"/>
        <w:tblW w:w="9135" w:type="dxa"/>
        <w:jc w:val="center"/>
        <w:tblLayout w:type="fixed"/>
        <w:tblCellMar>
          <w:top w:w="0" w:type="dxa"/>
          <w:left w:w="0" w:type="dxa"/>
          <w:bottom w:w="0" w:type="dxa"/>
          <w:right w:w="0" w:type="dxa"/>
        </w:tblCellMar>
      </w:tblPr>
      <w:tblGrid>
        <w:gridCol w:w="831"/>
        <w:gridCol w:w="1943"/>
        <w:gridCol w:w="1099"/>
        <w:gridCol w:w="1245"/>
        <w:gridCol w:w="1268"/>
        <w:gridCol w:w="1104"/>
        <w:gridCol w:w="1645"/>
      </w:tblGrid>
      <w:tr>
        <w:tblPrEx>
          <w:tblCellMar>
            <w:top w:w="0" w:type="dxa"/>
            <w:left w:w="0" w:type="dxa"/>
            <w:bottom w:w="0" w:type="dxa"/>
            <w:right w:w="0" w:type="dxa"/>
          </w:tblCellMar>
        </w:tblPrEx>
        <w:trPr>
          <w:trHeight w:val="614" w:hRule="atLeast"/>
          <w:jc w:val="center"/>
        </w:trPr>
        <w:tc>
          <w:tcPr>
            <w:tcW w:w="83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43" w:type="dxa"/>
            <w:vMerge w:val="restart"/>
            <w:tcBorders>
              <w:top w:val="single" w:color="auto" w:sz="4" w:space="0"/>
              <w:left w:val="nil"/>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099" w:type="dxa"/>
            <w:vMerge w:val="restart"/>
            <w:tcBorders>
              <w:top w:val="single" w:color="auto" w:sz="4" w:space="0"/>
              <w:left w:val="nil"/>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51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执业或职业资格</w:t>
            </w:r>
          </w:p>
        </w:tc>
        <w:tc>
          <w:tcPr>
            <w:tcW w:w="274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职业年限</w:t>
            </w:r>
          </w:p>
        </w:tc>
      </w:tr>
      <w:tr>
        <w:tblPrEx>
          <w:tblCellMar>
            <w:top w:w="0" w:type="dxa"/>
            <w:left w:w="0" w:type="dxa"/>
            <w:bottom w:w="0" w:type="dxa"/>
            <w:right w:w="0" w:type="dxa"/>
          </w:tblCellMar>
        </w:tblPrEx>
        <w:trPr>
          <w:trHeight w:val="614" w:hRule="atLeast"/>
          <w:jc w:val="center"/>
        </w:trPr>
        <w:tc>
          <w:tcPr>
            <w:tcW w:w="83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943"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099"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律师执业年限</w:t>
            </w:r>
          </w:p>
        </w:tc>
        <w:tc>
          <w:tcPr>
            <w:tcW w:w="16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公检法工作年限</w:t>
            </w: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主办律师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协办律师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bl>
    <w:p>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注：1.</w:t>
      </w:r>
      <w:r>
        <w:rPr>
          <w:rFonts w:hint="eastAsia" w:ascii="宋体" w:hAnsi="宋体" w:cs="宋体"/>
          <w:bCs/>
          <w:color w:val="auto"/>
          <w:sz w:val="24"/>
          <w:highlight w:val="none"/>
          <w:lang w:eastAsia="zh-CN"/>
        </w:rPr>
        <w:t>比选申请人</w:t>
      </w:r>
      <w:r>
        <w:rPr>
          <w:rFonts w:hint="eastAsia" w:ascii="宋体" w:hAnsi="宋体" w:cs="宋体"/>
          <w:bCs/>
          <w:color w:val="auto"/>
          <w:sz w:val="24"/>
          <w:highlight w:val="none"/>
        </w:rPr>
        <w:t>可根据实际情况调整辅助律师数量</w:t>
      </w:r>
      <w:r>
        <w:rPr>
          <w:rFonts w:hint="eastAsia" w:ascii="宋体" w:hAnsi="宋体" w:cs="宋体"/>
          <w:color w:val="auto"/>
          <w:sz w:val="24"/>
          <w:highlight w:val="none"/>
        </w:rPr>
        <w:t>。</w:t>
      </w:r>
    </w:p>
    <w:p>
      <w:pPr>
        <w:adjustRightInd w:val="0"/>
        <w:spacing w:line="360" w:lineRule="auto"/>
        <w:ind w:firstLine="480" w:firstLineChars="200"/>
        <w:jc w:val="left"/>
        <w:rPr>
          <w:rFonts w:ascii="新宋体" w:hAnsi="新宋体" w:eastAsia="新宋体"/>
          <w:color w:val="auto"/>
          <w:sz w:val="24"/>
          <w:highlight w:val="none"/>
        </w:rPr>
      </w:pPr>
      <w:r>
        <w:rPr>
          <w:rFonts w:hint="eastAsia" w:ascii="新宋体" w:hAnsi="新宋体" w:eastAsia="新宋体"/>
          <w:color w:val="auto"/>
          <w:sz w:val="24"/>
          <w:highlight w:val="none"/>
        </w:rPr>
        <w:t>2.本项目管理人员为主办律师（1人）及协办律师（1人），刑事律师团队最高不超过7人。</w:t>
      </w:r>
    </w:p>
    <w:p>
      <w:pPr>
        <w:adjustRightInd w:val="0"/>
        <w:spacing w:line="360" w:lineRule="auto"/>
        <w:ind w:firstLine="480" w:firstLineChars="200"/>
        <w:jc w:val="left"/>
        <w:rPr>
          <w:rFonts w:ascii="新宋体" w:hAnsi="新宋体" w:eastAsia="新宋体"/>
          <w:color w:val="auto"/>
          <w:sz w:val="24"/>
          <w:highlight w:val="none"/>
        </w:rPr>
      </w:pPr>
      <w:r>
        <w:rPr>
          <w:rFonts w:hint="eastAsia" w:ascii="新宋体" w:hAnsi="新宋体" w:eastAsia="新宋体"/>
          <w:color w:val="auto"/>
          <w:sz w:val="24"/>
          <w:highlight w:val="none"/>
        </w:rPr>
        <w:t>3.本项目管理人员应是与比选人对接人员，未经比选人同意，不得随意更换。</w:t>
      </w:r>
    </w:p>
    <w:p>
      <w:pPr>
        <w:adjustRightInd w:val="0"/>
        <w:spacing w:line="360" w:lineRule="auto"/>
        <w:ind w:firstLine="480" w:firstLineChars="200"/>
        <w:jc w:val="left"/>
        <w:rPr>
          <w:rFonts w:hint="eastAsia"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4.提供职业执照复印件加盖比选人公章。</w:t>
      </w:r>
    </w:p>
    <w:p>
      <w:pPr>
        <w:adjustRightInd w:val="0"/>
        <w:spacing w:line="360" w:lineRule="auto"/>
        <w:ind w:firstLine="480" w:firstLineChars="200"/>
        <w:jc w:val="left"/>
        <w:rPr>
          <w:rFonts w:hint="eastAsia" w:ascii="新宋体" w:hAnsi="新宋体" w:eastAsia="新宋体" w:cs="Times New Roman"/>
          <w:color w:val="auto"/>
          <w:kern w:val="2"/>
          <w:sz w:val="24"/>
          <w:szCs w:val="24"/>
          <w:highlight w:val="none"/>
          <w:lang w:bidi="ar-SA"/>
        </w:rPr>
      </w:pPr>
      <w:r>
        <w:rPr>
          <w:rFonts w:hint="eastAsia" w:ascii="新宋体" w:hAnsi="新宋体" w:eastAsia="新宋体"/>
          <w:color w:val="auto"/>
          <w:sz w:val="24"/>
          <w:highlight w:val="none"/>
          <w:lang w:val="en-US" w:eastAsia="zh-CN"/>
        </w:rPr>
        <w:t>5、</w:t>
      </w:r>
      <w:r>
        <w:rPr>
          <w:rFonts w:hint="eastAsia" w:ascii="新宋体" w:hAnsi="新宋体" w:eastAsia="新宋体" w:cs="Times New Roman"/>
          <w:color w:val="auto"/>
          <w:kern w:val="2"/>
          <w:sz w:val="24"/>
          <w:szCs w:val="24"/>
          <w:highlight w:val="none"/>
          <w:lang w:eastAsia="zh-CN" w:bidi="ar-SA"/>
        </w:rPr>
        <w:t>人员资历</w:t>
      </w:r>
      <w:r>
        <w:rPr>
          <w:rFonts w:hint="eastAsia" w:ascii="新宋体" w:hAnsi="新宋体" w:eastAsia="新宋体" w:cs="Times New Roman"/>
          <w:color w:val="auto"/>
          <w:kern w:val="2"/>
          <w:sz w:val="24"/>
          <w:szCs w:val="24"/>
          <w:highlight w:val="none"/>
          <w:lang w:bidi="ar-SA"/>
        </w:rPr>
        <w:t>提供工作经验证明材料（包含但不限于</w:t>
      </w:r>
      <w:r>
        <w:rPr>
          <w:rFonts w:hint="eastAsia" w:ascii="新宋体" w:hAnsi="新宋体" w:eastAsia="新宋体" w:cs="Times New Roman"/>
          <w:color w:val="auto"/>
          <w:kern w:val="2"/>
          <w:sz w:val="24"/>
          <w:szCs w:val="24"/>
          <w:highlight w:val="none"/>
          <w:lang w:eastAsia="zh-CN" w:bidi="ar-SA"/>
        </w:rPr>
        <w:t>律师证、</w:t>
      </w:r>
      <w:r>
        <w:rPr>
          <w:rFonts w:hint="eastAsia" w:ascii="新宋体" w:hAnsi="新宋体" w:eastAsia="新宋体" w:cs="Times New Roman"/>
          <w:color w:val="auto"/>
          <w:kern w:val="2"/>
          <w:sz w:val="24"/>
          <w:szCs w:val="24"/>
          <w:highlight w:val="none"/>
          <w:lang w:bidi="ar-SA"/>
        </w:rPr>
        <w:t>社保、律所工作证明、机关离职工作年限证明等）并加盖比选申请人公章。</w:t>
      </w:r>
    </w:p>
    <w:p>
      <w:pPr>
        <w:adjustRightInd w:val="0"/>
        <w:spacing w:line="360" w:lineRule="auto"/>
        <w:ind w:firstLine="480" w:firstLineChars="200"/>
        <w:jc w:val="left"/>
        <w:rPr>
          <w:rFonts w:hint="default" w:ascii="新宋体" w:hAnsi="新宋体" w:eastAsia="新宋体" w:cs="Times New Roman"/>
          <w:color w:val="auto"/>
          <w:kern w:val="2"/>
          <w:sz w:val="24"/>
          <w:szCs w:val="24"/>
          <w:highlight w:val="none"/>
          <w:lang w:bidi="ar-SA"/>
        </w:rPr>
      </w:pPr>
      <w:r>
        <w:rPr>
          <w:rFonts w:hint="eastAsia" w:ascii="新宋体" w:hAnsi="新宋体" w:eastAsia="新宋体" w:cs="Times New Roman"/>
          <w:color w:val="auto"/>
          <w:kern w:val="2"/>
          <w:sz w:val="24"/>
          <w:szCs w:val="24"/>
          <w:highlight w:val="none"/>
          <w:lang w:val="en-US" w:eastAsia="zh-CN" w:bidi="ar-SA"/>
        </w:rPr>
        <w:t>6、本部分对应第六章评选办法人员经验和资历的具体评分细则。</w:t>
      </w:r>
    </w:p>
    <w:p>
      <w:pPr>
        <w:pStyle w:val="2"/>
        <w:rPr>
          <w:rFonts w:hint="default"/>
          <w:color w:val="auto"/>
          <w:highlight w:val="none"/>
          <w:lang w:val="en-US" w:eastAsia="zh-CN"/>
        </w:rPr>
      </w:pPr>
    </w:p>
    <w:p>
      <w:pPr>
        <w:adjustRightInd w:val="0"/>
        <w:spacing w:line="36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二、</w:t>
      </w:r>
      <w:r>
        <w:rPr>
          <w:rFonts w:hint="eastAsia" w:ascii="新宋体" w:hAnsi="新宋体" w:eastAsia="新宋体"/>
          <w:b w:val="0"/>
          <w:bCs w:val="0"/>
          <w:color w:val="auto"/>
          <w:sz w:val="24"/>
          <w:highlight w:val="none"/>
        </w:rPr>
        <w:t>民事律师团队人员配备</w:t>
      </w:r>
    </w:p>
    <w:p>
      <w:pPr>
        <w:snapToGrid w:val="0"/>
        <w:spacing w:line="360" w:lineRule="auto"/>
        <w:rPr>
          <w:rFonts w:ascii="宋体" w:hAnsi="宋体" w:cs="仿宋_GB2312"/>
          <w:bCs/>
          <w:color w:val="auto"/>
          <w:szCs w:val="21"/>
          <w:highlight w:val="none"/>
          <w:u w:val="single"/>
        </w:rPr>
      </w:pPr>
      <w:r>
        <w:rPr>
          <w:rFonts w:hint="eastAsia" w:ascii="宋体" w:hAnsi="宋体" w:cs="仿宋_GB2312"/>
          <w:bCs/>
          <w:color w:val="auto"/>
          <w:szCs w:val="21"/>
          <w:highlight w:val="none"/>
        </w:rPr>
        <w:t>项目名称：</w:t>
      </w:r>
      <w:r>
        <w:rPr>
          <w:rFonts w:hint="eastAsia" w:ascii="宋体" w:hAnsi="宋体"/>
          <w:bCs/>
          <w:color w:val="auto"/>
          <w:sz w:val="24"/>
          <w:highlight w:val="none"/>
          <w:u w:val="single"/>
        </w:rPr>
        <w:t xml:space="preserve">            </w:t>
      </w:r>
    </w:p>
    <w:p>
      <w:pPr>
        <w:snapToGrid w:val="0"/>
        <w:spacing w:line="360" w:lineRule="auto"/>
        <w:rPr>
          <w:rFonts w:ascii="宋体" w:hAnsi="宋体" w:cs="仿宋_GB2312"/>
          <w:bCs/>
          <w:color w:val="auto"/>
          <w:szCs w:val="21"/>
          <w:highlight w:val="none"/>
        </w:rPr>
      </w:pPr>
      <w:r>
        <w:rPr>
          <w:rFonts w:hint="eastAsia" w:ascii="宋体" w:hAnsi="宋体" w:cs="仿宋_GB2312"/>
          <w:bCs/>
          <w:color w:val="auto"/>
          <w:szCs w:val="21"/>
          <w:highlight w:val="none"/>
        </w:rPr>
        <w:t>项目编号：</w:t>
      </w:r>
      <w:r>
        <w:rPr>
          <w:rFonts w:hint="eastAsia" w:ascii="宋体" w:hAnsi="宋体"/>
          <w:bCs/>
          <w:color w:val="auto"/>
          <w:sz w:val="24"/>
          <w:highlight w:val="none"/>
          <w:u w:val="single"/>
        </w:rPr>
        <w:t xml:space="preserve">            </w:t>
      </w:r>
    </w:p>
    <w:tbl>
      <w:tblPr>
        <w:tblStyle w:val="19"/>
        <w:tblW w:w="9135" w:type="dxa"/>
        <w:jc w:val="center"/>
        <w:tblLayout w:type="fixed"/>
        <w:tblCellMar>
          <w:top w:w="0" w:type="dxa"/>
          <w:left w:w="0" w:type="dxa"/>
          <w:bottom w:w="0" w:type="dxa"/>
          <w:right w:w="0" w:type="dxa"/>
        </w:tblCellMar>
      </w:tblPr>
      <w:tblGrid>
        <w:gridCol w:w="831"/>
        <w:gridCol w:w="1943"/>
        <w:gridCol w:w="1099"/>
        <w:gridCol w:w="1245"/>
        <w:gridCol w:w="1268"/>
        <w:gridCol w:w="1104"/>
        <w:gridCol w:w="1645"/>
      </w:tblGrid>
      <w:tr>
        <w:tblPrEx>
          <w:tblCellMar>
            <w:top w:w="0" w:type="dxa"/>
            <w:left w:w="0" w:type="dxa"/>
            <w:bottom w:w="0" w:type="dxa"/>
            <w:right w:w="0" w:type="dxa"/>
          </w:tblCellMar>
        </w:tblPrEx>
        <w:trPr>
          <w:trHeight w:val="614" w:hRule="atLeast"/>
          <w:jc w:val="center"/>
        </w:trPr>
        <w:tc>
          <w:tcPr>
            <w:tcW w:w="83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43" w:type="dxa"/>
            <w:vMerge w:val="restart"/>
            <w:tcBorders>
              <w:top w:val="single" w:color="auto" w:sz="4" w:space="0"/>
              <w:left w:val="nil"/>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099" w:type="dxa"/>
            <w:vMerge w:val="restart"/>
            <w:tcBorders>
              <w:top w:val="single" w:color="auto" w:sz="4" w:space="0"/>
              <w:left w:val="nil"/>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251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执业或职业资格</w:t>
            </w:r>
          </w:p>
        </w:tc>
        <w:tc>
          <w:tcPr>
            <w:tcW w:w="274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职业年限</w:t>
            </w:r>
          </w:p>
        </w:tc>
      </w:tr>
      <w:tr>
        <w:tblPrEx>
          <w:tblCellMar>
            <w:top w:w="0" w:type="dxa"/>
            <w:left w:w="0" w:type="dxa"/>
            <w:bottom w:w="0" w:type="dxa"/>
            <w:right w:w="0" w:type="dxa"/>
          </w:tblCellMar>
        </w:tblPrEx>
        <w:trPr>
          <w:trHeight w:val="614" w:hRule="atLeast"/>
          <w:jc w:val="center"/>
        </w:trPr>
        <w:tc>
          <w:tcPr>
            <w:tcW w:w="83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943"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099"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律师执业年限</w:t>
            </w:r>
          </w:p>
        </w:tc>
        <w:tc>
          <w:tcPr>
            <w:tcW w:w="16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公检法工作年限</w:t>
            </w: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主办律师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协办律师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color w:val="auto"/>
                <w:szCs w:val="21"/>
                <w:highlight w:val="none"/>
              </w:rPr>
            </w:pPr>
          </w:p>
        </w:tc>
      </w:tr>
    </w:tbl>
    <w:p>
      <w:pPr>
        <w:adjustRightIn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注：1.</w:t>
      </w:r>
      <w:r>
        <w:rPr>
          <w:rFonts w:hint="eastAsia" w:ascii="宋体" w:hAnsi="宋体" w:cs="宋体"/>
          <w:bCs/>
          <w:color w:val="auto"/>
          <w:sz w:val="24"/>
          <w:highlight w:val="none"/>
          <w:lang w:eastAsia="zh-CN"/>
        </w:rPr>
        <w:t>比选申请人</w:t>
      </w:r>
      <w:r>
        <w:rPr>
          <w:rFonts w:hint="eastAsia" w:ascii="宋体" w:hAnsi="宋体" w:cs="宋体"/>
          <w:bCs/>
          <w:color w:val="auto"/>
          <w:sz w:val="24"/>
          <w:highlight w:val="none"/>
        </w:rPr>
        <w:t>可根据实际情况调整辅助律师数量</w:t>
      </w:r>
      <w:r>
        <w:rPr>
          <w:rFonts w:hint="eastAsia" w:ascii="宋体" w:hAnsi="宋体" w:cs="宋体"/>
          <w:color w:val="auto"/>
          <w:sz w:val="24"/>
          <w:highlight w:val="none"/>
        </w:rPr>
        <w:t>。</w:t>
      </w:r>
    </w:p>
    <w:p>
      <w:pPr>
        <w:adjustRightInd w:val="0"/>
        <w:spacing w:line="360" w:lineRule="auto"/>
        <w:ind w:firstLine="480" w:firstLineChars="200"/>
        <w:jc w:val="left"/>
        <w:rPr>
          <w:rFonts w:ascii="新宋体" w:hAnsi="新宋体" w:eastAsia="新宋体"/>
          <w:color w:val="auto"/>
          <w:sz w:val="24"/>
          <w:highlight w:val="none"/>
        </w:rPr>
      </w:pPr>
      <w:r>
        <w:rPr>
          <w:rFonts w:hint="eastAsia" w:ascii="新宋体" w:hAnsi="新宋体" w:eastAsia="新宋体"/>
          <w:color w:val="auto"/>
          <w:sz w:val="24"/>
          <w:highlight w:val="none"/>
        </w:rPr>
        <w:t>2.本项目管理人员为主办律师（1人）及协办律师（1人），民事律师团队最高不超过5人。</w:t>
      </w:r>
    </w:p>
    <w:p>
      <w:pPr>
        <w:adjustRightInd w:val="0"/>
        <w:spacing w:line="360" w:lineRule="auto"/>
        <w:ind w:firstLine="480" w:firstLineChars="200"/>
        <w:jc w:val="left"/>
        <w:rPr>
          <w:rFonts w:ascii="新宋体" w:hAnsi="新宋体" w:eastAsia="新宋体"/>
          <w:color w:val="auto"/>
          <w:sz w:val="24"/>
          <w:highlight w:val="none"/>
        </w:rPr>
      </w:pPr>
      <w:r>
        <w:rPr>
          <w:rFonts w:hint="eastAsia" w:ascii="新宋体" w:hAnsi="新宋体" w:eastAsia="新宋体"/>
          <w:color w:val="auto"/>
          <w:sz w:val="24"/>
          <w:highlight w:val="none"/>
        </w:rPr>
        <w:t>3.本项目管理人员应是与比选人对接人员，未经比选人同意，不得随意更换。</w:t>
      </w:r>
    </w:p>
    <w:p>
      <w:pPr>
        <w:adjustRightInd w:val="0"/>
        <w:spacing w:line="360" w:lineRule="auto"/>
        <w:ind w:firstLine="480" w:firstLineChars="200"/>
        <w:jc w:val="left"/>
        <w:rPr>
          <w:rFonts w:hint="eastAsia"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4.提供职业执照复印件加盖比选人公章。</w:t>
      </w:r>
    </w:p>
    <w:p>
      <w:pPr>
        <w:adjustRightInd w:val="0"/>
        <w:spacing w:line="360" w:lineRule="auto"/>
        <w:ind w:firstLine="480" w:firstLineChars="200"/>
        <w:jc w:val="left"/>
        <w:rPr>
          <w:rFonts w:hint="eastAsia" w:ascii="新宋体" w:hAnsi="新宋体" w:eastAsia="新宋体" w:cs="Times New Roman"/>
          <w:color w:val="auto"/>
          <w:kern w:val="2"/>
          <w:sz w:val="24"/>
          <w:szCs w:val="24"/>
          <w:highlight w:val="none"/>
          <w:lang w:bidi="ar-SA"/>
        </w:rPr>
      </w:pPr>
      <w:r>
        <w:rPr>
          <w:rFonts w:hint="eastAsia" w:ascii="新宋体" w:hAnsi="新宋体" w:eastAsia="新宋体"/>
          <w:color w:val="auto"/>
          <w:sz w:val="24"/>
          <w:highlight w:val="none"/>
          <w:lang w:val="en-US" w:eastAsia="zh-CN"/>
        </w:rPr>
        <w:t>5、</w:t>
      </w:r>
      <w:r>
        <w:rPr>
          <w:rFonts w:hint="eastAsia" w:ascii="新宋体" w:hAnsi="新宋体" w:eastAsia="新宋体" w:cs="Times New Roman"/>
          <w:color w:val="auto"/>
          <w:kern w:val="2"/>
          <w:sz w:val="24"/>
          <w:szCs w:val="24"/>
          <w:highlight w:val="none"/>
          <w:lang w:eastAsia="zh-CN" w:bidi="ar-SA"/>
        </w:rPr>
        <w:t>人员资历</w:t>
      </w:r>
      <w:r>
        <w:rPr>
          <w:rFonts w:hint="eastAsia" w:ascii="新宋体" w:hAnsi="新宋体" w:eastAsia="新宋体" w:cs="Times New Roman"/>
          <w:color w:val="auto"/>
          <w:kern w:val="2"/>
          <w:sz w:val="24"/>
          <w:szCs w:val="24"/>
          <w:highlight w:val="none"/>
          <w:lang w:bidi="ar-SA"/>
        </w:rPr>
        <w:t>提供工作经验证明材料（包含但不限于</w:t>
      </w:r>
      <w:r>
        <w:rPr>
          <w:rFonts w:hint="eastAsia" w:ascii="新宋体" w:hAnsi="新宋体" w:eastAsia="新宋体" w:cs="Times New Roman"/>
          <w:color w:val="auto"/>
          <w:kern w:val="2"/>
          <w:sz w:val="24"/>
          <w:szCs w:val="24"/>
          <w:highlight w:val="none"/>
          <w:lang w:eastAsia="zh-CN" w:bidi="ar-SA"/>
        </w:rPr>
        <w:t>律师证、</w:t>
      </w:r>
      <w:r>
        <w:rPr>
          <w:rFonts w:hint="eastAsia" w:ascii="新宋体" w:hAnsi="新宋体" w:eastAsia="新宋体" w:cs="Times New Roman"/>
          <w:color w:val="auto"/>
          <w:kern w:val="2"/>
          <w:sz w:val="24"/>
          <w:szCs w:val="24"/>
          <w:highlight w:val="none"/>
          <w:lang w:bidi="ar-SA"/>
        </w:rPr>
        <w:t>社保、律所工作证明、机关离职工作年限证明等）并加盖比选申请人公章。</w:t>
      </w:r>
    </w:p>
    <w:p>
      <w:pPr>
        <w:adjustRightInd w:val="0"/>
        <w:spacing w:line="360" w:lineRule="auto"/>
        <w:ind w:firstLine="480" w:firstLineChars="200"/>
        <w:jc w:val="left"/>
        <w:rPr>
          <w:rFonts w:hint="default" w:ascii="新宋体" w:hAnsi="新宋体" w:eastAsia="新宋体" w:cs="Times New Roman"/>
          <w:color w:val="auto"/>
          <w:kern w:val="2"/>
          <w:sz w:val="24"/>
          <w:szCs w:val="24"/>
          <w:highlight w:val="none"/>
          <w:lang w:bidi="ar-SA"/>
        </w:rPr>
      </w:pPr>
      <w:r>
        <w:rPr>
          <w:rFonts w:hint="eastAsia" w:ascii="新宋体" w:hAnsi="新宋体" w:eastAsia="新宋体" w:cs="Times New Roman"/>
          <w:color w:val="auto"/>
          <w:kern w:val="2"/>
          <w:sz w:val="24"/>
          <w:szCs w:val="24"/>
          <w:highlight w:val="none"/>
          <w:lang w:val="en-US" w:eastAsia="zh-CN" w:bidi="ar-SA"/>
        </w:rPr>
        <w:t>6、本部分对应第六章评选办法人员经验和资历的具体评分细则。</w:t>
      </w:r>
    </w:p>
    <w:p>
      <w:pPr>
        <w:pStyle w:val="2"/>
        <w:rPr>
          <w:color w:val="auto"/>
          <w:highlight w:val="none"/>
        </w:rPr>
      </w:pP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4"/>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49" w:name="_Toc543_WPSOffice_Level2"/>
      <w:r>
        <w:rPr>
          <w:rFonts w:hint="eastAsia" w:ascii="宋体" w:hAnsi="宋体" w:eastAsia="宋体" w:cs="宋体"/>
          <w:color w:val="auto"/>
          <w:highlight w:val="none"/>
        </w:rPr>
        <w:t>九、比选申请人类似项目业绩一览表</w:t>
      </w:r>
      <w:bookmarkEnd w:id="49"/>
    </w:p>
    <w:p>
      <w:pPr>
        <w:pStyle w:val="2"/>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请参照第六章评选办法评分细则要求，</w:t>
      </w:r>
      <w:r>
        <w:rPr>
          <w:rFonts w:hint="eastAsia" w:ascii="宋体" w:hAnsi="宋体" w:cs="宋体"/>
          <w:color w:val="auto"/>
          <w:sz w:val="24"/>
          <w:highlight w:val="none"/>
        </w:rPr>
        <w:t>由比选申请人自行编写，格式不限。</w:t>
      </w:r>
      <w:r>
        <w:rPr>
          <w:rFonts w:hint="eastAsia" w:ascii="宋体" w:hAnsi="宋体" w:cs="宋体"/>
          <w:color w:val="auto"/>
          <w:sz w:val="24"/>
          <w:highlight w:val="none"/>
          <w:lang w:eastAsia="zh-CN"/>
        </w:rPr>
        <w:t>但需注意罗列汇总表和佐证材料格式：</w:t>
      </w:r>
    </w:p>
    <w:p>
      <w:pPr>
        <w:pStyle w:val="2"/>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1、曾</w:t>
      </w:r>
      <w:r>
        <w:rPr>
          <w:rFonts w:hint="eastAsia" w:ascii="宋体" w:hAnsi="宋体" w:cs="宋体"/>
          <w:color w:val="auto"/>
          <w:kern w:val="2"/>
          <w:sz w:val="24"/>
          <w:szCs w:val="24"/>
          <w:highlight w:val="none"/>
          <w:lang w:bidi="ar"/>
        </w:rPr>
        <w:t>任政府、国（央）企、上市公司法律（常年/专项）顾问</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提供合同复印件并加盖比选申请人公章</w:t>
      </w:r>
      <w:r>
        <w:rPr>
          <w:rFonts w:hint="eastAsia" w:ascii="宋体" w:hAnsi="宋体" w:cs="宋体"/>
          <w:color w:val="auto"/>
          <w:kern w:val="2"/>
          <w:sz w:val="24"/>
          <w:szCs w:val="24"/>
          <w:highlight w:val="none"/>
          <w:lang w:eastAsia="zh-CN" w:bidi="ar"/>
        </w:rPr>
        <w:t>。</w:t>
      </w:r>
    </w:p>
    <w:p>
      <w:pPr>
        <w:pStyle w:val="2"/>
        <w:spacing w:line="360" w:lineRule="auto"/>
        <w:ind w:firstLine="480" w:firstLineChars="200"/>
        <w:jc w:val="left"/>
        <w:rPr>
          <w:rFonts w:hint="eastAsia" w:ascii="宋体" w:hAnsi="宋体" w:cs="宋体"/>
          <w:color w:val="auto"/>
          <w:kern w:val="2"/>
          <w:sz w:val="24"/>
          <w:szCs w:val="24"/>
          <w:highlight w:val="none"/>
          <w:lang w:bidi="ar-SA"/>
        </w:rPr>
      </w:pPr>
      <w:r>
        <w:rPr>
          <w:rFonts w:hint="eastAsia" w:ascii="宋体" w:hAnsi="宋体" w:cs="宋体"/>
          <w:color w:val="auto"/>
          <w:sz w:val="24"/>
          <w:highlight w:val="none"/>
          <w:lang w:val="en-US" w:eastAsia="zh-CN"/>
        </w:rPr>
        <w:t>2、</w:t>
      </w:r>
      <w:r>
        <w:rPr>
          <w:rFonts w:hint="eastAsia" w:ascii="宋体" w:hAnsi="宋体" w:cs="宋体"/>
          <w:color w:val="auto"/>
          <w:kern w:val="2"/>
          <w:sz w:val="24"/>
          <w:szCs w:val="24"/>
          <w:highlight w:val="none"/>
          <w:lang w:bidi="ar-SA"/>
        </w:rPr>
        <w:t>刑事律师团队专业领域</w:t>
      </w:r>
      <w:r>
        <w:rPr>
          <w:rFonts w:hint="eastAsia" w:ascii="宋体" w:hAnsi="宋体" w:cs="宋体"/>
          <w:color w:val="auto"/>
          <w:kern w:val="2"/>
          <w:sz w:val="24"/>
          <w:szCs w:val="24"/>
          <w:highlight w:val="none"/>
          <w:lang w:eastAsia="zh-CN" w:bidi="ar-SA"/>
        </w:rPr>
        <w:t>业绩证明，</w:t>
      </w:r>
      <w:r>
        <w:rPr>
          <w:rFonts w:hint="eastAsia" w:ascii="宋体" w:hAnsi="宋体" w:cs="宋体"/>
          <w:color w:val="auto"/>
          <w:kern w:val="2"/>
          <w:sz w:val="24"/>
          <w:szCs w:val="24"/>
          <w:highlight w:val="none"/>
          <w:lang w:bidi="ar-SA"/>
        </w:rPr>
        <w:t>律师曾在公检法机关任职的裁判文书等业绩证明，不受</w:t>
      </w:r>
      <w:r>
        <w:rPr>
          <w:rFonts w:hint="eastAsia" w:ascii="宋体" w:hAnsi="宋体" w:cs="宋体"/>
          <w:color w:val="auto"/>
          <w:kern w:val="2"/>
          <w:sz w:val="24"/>
          <w:szCs w:val="24"/>
          <w:highlight w:val="none"/>
          <w:lang w:eastAsia="zh-CN" w:bidi="ar-SA"/>
        </w:rPr>
        <w:t>近</w:t>
      </w:r>
      <w:r>
        <w:rPr>
          <w:rFonts w:hint="eastAsia" w:ascii="宋体" w:hAnsi="宋体" w:cs="宋体"/>
          <w:color w:val="auto"/>
          <w:kern w:val="2"/>
          <w:sz w:val="24"/>
          <w:szCs w:val="24"/>
          <w:highlight w:val="none"/>
          <w:lang w:bidi="ar-SA"/>
        </w:rPr>
        <w:t>三年</w:t>
      </w:r>
      <w:r>
        <w:rPr>
          <w:rFonts w:hint="eastAsia" w:ascii="宋体" w:hAnsi="宋体" w:cs="宋体"/>
          <w:color w:val="auto"/>
          <w:kern w:val="2"/>
          <w:sz w:val="24"/>
          <w:szCs w:val="24"/>
          <w:highlight w:val="none"/>
          <w:lang w:eastAsia="zh-CN" w:bidi="ar-SA"/>
        </w:rPr>
        <w:t>时间</w:t>
      </w:r>
      <w:r>
        <w:rPr>
          <w:rFonts w:hint="eastAsia" w:ascii="宋体" w:hAnsi="宋体" w:cs="宋体"/>
          <w:color w:val="auto"/>
          <w:kern w:val="2"/>
          <w:sz w:val="24"/>
          <w:szCs w:val="24"/>
          <w:highlight w:val="none"/>
          <w:lang w:bidi="ar-SA"/>
        </w:rPr>
        <w:t>限制，凡在职期间均符合要求。以上文件需加盖比选申请人公章。刑事合同涉及客户隐私时，可提供打码复印件，但投标截止当日提供原件及相关法律文书原件备查。</w:t>
      </w:r>
    </w:p>
    <w:p>
      <w:pPr>
        <w:pStyle w:val="2"/>
        <w:spacing w:line="360" w:lineRule="auto"/>
        <w:ind w:firstLine="480" w:firstLineChars="200"/>
        <w:jc w:val="left"/>
        <w:rPr>
          <w:rFonts w:hint="eastAsia" w:ascii="宋体" w:hAnsi="宋体" w:cs="宋体"/>
          <w:color w:val="auto"/>
          <w:kern w:val="2"/>
          <w:sz w:val="24"/>
          <w:szCs w:val="24"/>
          <w:highlight w:val="none"/>
          <w:lang w:bidi="ar-SA"/>
        </w:rPr>
      </w:pPr>
      <w:r>
        <w:rPr>
          <w:rFonts w:hint="eastAsia" w:ascii="宋体" w:hAnsi="宋体" w:cs="宋体"/>
          <w:color w:val="auto"/>
          <w:kern w:val="2"/>
          <w:sz w:val="24"/>
          <w:szCs w:val="24"/>
          <w:highlight w:val="none"/>
          <w:lang w:val="en-US" w:eastAsia="zh-CN" w:bidi="ar-SA"/>
        </w:rPr>
        <w:t>3、</w:t>
      </w:r>
      <w:r>
        <w:rPr>
          <w:rFonts w:hint="eastAsia" w:ascii="宋体" w:hAnsi="宋体" w:cs="宋体"/>
          <w:b w:val="0"/>
          <w:color w:val="auto"/>
          <w:sz w:val="24"/>
          <w:highlight w:val="none"/>
          <w:lang w:eastAsia="zh-CN"/>
        </w:rPr>
        <w:t>民</w:t>
      </w:r>
      <w:r>
        <w:rPr>
          <w:rFonts w:hint="eastAsia" w:ascii="宋体" w:hAnsi="宋体" w:cs="宋体"/>
          <w:color w:val="auto"/>
          <w:kern w:val="2"/>
          <w:sz w:val="24"/>
          <w:szCs w:val="24"/>
          <w:highlight w:val="none"/>
          <w:lang w:bidi="ar-SA"/>
        </w:rPr>
        <w:t>事律师团队专业领域</w:t>
      </w:r>
      <w:r>
        <w:rPr>
          <w:rFonts w:hint="eastAsia" w:ascii="宋体" w:hAnsi="宋体" w:cs="宋体"/>
          <w:color w:val="auto"/>
          <w:kern w:val="2"/>
          <w:sz w:val="24"/>
          <w:szCs w:val="24"/>
          <w:highlight w:val="none"/>
          <w:lang w:eastAsia="zh-CN" w:bidi="ar-SA"/>
        </w:rPr>
        <w:t>业绩证明，</w:t>
      </w:r>
      <w:r>
        <w:rPr>
          <w:rFonts w:hint="eastAsia" w:ascii="宋体" w:hAnsi="宋体" w:cs="宋体"/>
          <w:color w:val="auto"/>
          <w:kern w:val="2"/>
          <w:sz w:val="24"/>
          <w:szCs w:val="24"/>
          <w:highlight w:val="none"/>
          <w:lang w:bidi="ar-SA"/>
        </w:rPr>
        <w:t>律师曾在公检法机关任职的裁判文书等业绩证明，不受</w:t>
      </w:r>
      <w:r>
        <w:rPr>
          <w:rFonts w:hint="eastAsia" w:ascii="宋体" w:hAnsi="宋体" w:cs="宋体"/>
          <w:color w:val="auto"/>
          <w:kern w:val="2"/>
          <w:sz w:val="24"/>
          <w:szCs w:val="24"/>
          <w:highlight w:val="none"/>
          <w:lang w:eastAsia="zh-CN" w:bidi="ar-SA"/>
        </w:rPr>
        <w:t>近三年时间</w:t>
      </w:r>
      <w:r>
        <w:rPr>
          <w:rFonts w:hint="eastAsia" w:ascii="宋体" w:hAnsi="宋体" w:cs="宋体"/>
          <w:color w:val="auto"/>
          <w:kern w:val="2"/>
          <w:sz w:val="24"/>
          <w:szCs w:val="24"/>
          <w:highlight w:val="none"/>
          <w:lang w:bidi="ar-SA"/>
        </w:rPr>
        <w:t>限制，凡在职期间均符合要求。以上文件需加盖比选申请人公章。</w:t>
      </w:r>
    </w:p>
    <w:p>
      <w:pPr>
        <w:spacing w:line="360" w:lineRule="auto"/>
        <w:ind w:firstLine="480" w:firstLineChars="200"/>
        <w:jc w:val="left"/>
        <w:rPr>
          <w:rFonts w:ascii="宋体" w:hAnsi="宋体" w:cs="宋体"/>
          <w:color w:val="auto"/>
          <w:sz w:val="24"/>
          <w:highlight w:val="none"/>
        </w:rPr>
      </w:pPr>
    </w:p>
    <w:p>
      <w:pPr>
        <w:pStyle w:val="2"/>
        <w:rPr>
          <w:rFonts w:ascii="宋体" w:hAnsi="宋体" w:cs="宋体"/>
          <w:color w:val="auto"/>
          <w:highlight w:val="none"/>
        </w:rPr>
      </w:pPr>
      <w:r>
        <w:rPr>
          <w:rFonts w:hint="eastAsia" w:ascii="宋体" w:hAnsi="宋体" w:cs="宋体"/>
          <w:color w:val="auto"/>
          <w:highlight w:val="none"/>
        </w:rPr>
        <w:br w:type="page"/>
      </w:r>
    </w:p>
    <w:p>
      <w:pPr>
        <w:pStyle w:val="4"/>
        <w:ind w:firstLine="3534" w:firstLineChars="1100"/>
        <w:jc w:val="both"/>
        <w:rPr>
          <w:rFonts w:hint="eastAsia" w:ascii="宋体" w:hAnsi="宋体" w:eastAsia="宋体" w:cs="宋体"/>
          <w:color w:val="auto"/>
          <w:highlight w:val="none"/>
        </w:rPr>
      </w:pPr>
      <w:bookmarkStart w:id="50" w:name="_Toc23762_WPSOffice_Level2"/>
      <w:r>
        <w:rPr>
          <w:rFonts w:hint="eastAsia" w:ascii="宋体" w:hAnsi="宋体" w:eastAsia="宋体" w:cs="宋体"/>
          <w:color w:val="auto"/>
          <w:kern w:val="2"/>
          <w:highlight w:val="none"/>
        </w:rPr>
        <w:t>十</w:t>
      </w:r>
      <w:r>
        <w:rPr>
          <w:rFonts w:hint="eastAsia" w:ascii="宋体" w:hAnsi="宋体" w:eastAsia="宋体" w:cs="宋体"/>
          <w:color w:val="auto"/>
          <w:highlight w:val="none"/>
        </w:rPr>
        <w:t>、服务方案</w:t>
      </w:r>
      <w:bookmarkEnd w:id="50"/>
      <w:r>
        <w:rPr>
          <w:rFonts w:hint="eastAsia" w:ascii="宋体" w:hAnsi="宋体" w:eastAsia="宋体" w:cs="宋体"/>
          <w:color w:val="auto"/>
          <w:highlight w:val="none"/>
          <w:lang w:eastAsia="zh-CN"/>
        </w:rPr>
        <w:t>要求</w:t>
      </w:r>
    </w:p>
    <w:p>
      <w:pPr>
        <w:pStyle w:val="2"/>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比选申请人需针对本项目在</w:t>
      </w:r>
      <w:r>
        <w:rPr>
          <w:rFonts w:hint="eastAsia" w:ascii="宋体" w:hAnsi="宋体" w:cs="宋体"/>
          <w:color w:val="auto"/>
          <w:sz w:val="24"/>
          <w:highlight w:val="none"/>
          <w:lang w:val="en-US" w:eastAsia="zh-CN"/>
        </w:rPr>
        <w:t>比选申请</w:t>
      </w:r>
      <w:r>
        <w:rPr>
          <w:rFonts w:hint="eastAsia" w:ascii="宋体" w:hAnsi="宋体" w:cs="宋体"/>
          <w:color w:val="auto"/>
          <w:sz w:val="24"/>
          <w:highlight w:val="none"/>
        </w:rPr>
        <w:t>文件中提供总体实施方案：包括</w:t>
      </w:r>
      <w:r>
        <w:rPr>
          <w:rFonts w:hint="eastAsia" w:ascii="宋体" w:hAnsi="宋体" w:cs="宋体"/>
          <w:color w:val="auto"/>
          <w:sz w:val="24"/>
          <w:highlight w:val="none"/>
          <w:lang w:eastAsia="zh-CN"/>
        </w:rPr>
        <w:t>以下内容，具体请参考第六章评选办法评分细则。</w:t>
      </w:r>
    </w:p>
    <w:p>
      <w:pPr>
        <w:pStyle w:val="2"/>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①项目人员配置与分工</w:t>
      </w:r>
      <w:r>
        <w:rPr>
          <w:rFonts w:hint="eastAsia" w:ascii="宋体" w:hAnsi="宋体" w:cs="宋体"/>
          <w:color w:val="auto"/>
          <w:sz w:val="24"/>
          <w:highlight w:val="none"/>
          <w:lang w:eastAsia="zh-CN"/>
        </w:rPr>
        <w:t>：</w:t>
      </w:r>
    </w:p>
    <w:p>
      <w:pPr>
        <w:pStyle w:val="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结合比选文件第八项表格本部分简要描述</w:t>
      </w:r>
      <w:r>
        <w:rPr>
          <w:rFonts w:hint="eastAsia" w:ascii="宋体" w:hAnsi="宋体" w:cs="宋体"/>
          <w:color w:val="auto"/>
          <w:kern w:val="2"/>
          <w:sz w:val="24"/>
          <w:szCs w:val="24"/>
          <w:highlight w:val="none"/>
          <w:lang w:eastAsia="zh-CN" w:bidi="ar"/>
        </w:rPr>
        <w:t>项目参与人员及各自分工。</w:t>
      </w:r>
    </w:p>
    <w:p>
      <w:pPr>
        <w:pStyle w:val="2"/>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②专业知识的准备</w:t>
      </w:r>
      <w:r>
        <w:rPr>
          <w:rFonts w:hint="eastAsia" w:ascii="宋体" w:hAnsi="宋体" w:cs="宋体"/>
          <w:color w:val="auto"/>
          <w:sz w:val="24"/>
          <w:highlight w:val="none"/>
          <w:lang w:eastAsia="zh-CN"/>
        </w:rPr>
        <w:t>：</w:t>
      </w:r>
    </w:p>
    <w:p>
      <w:pPr>
        <w:pStyle w:val="2"/>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包含可能涉及的法律法规整理、常用的法律文件形式列举</w:t>
      </w:r>
      <w:r>
        <w:rPr>
          <w:rFonts w:hint="eastAsia" w:ascii="宋体" w:hAnsi="宋体" w:cs="宋体"/>
          <w:color w:val="auto"/>
          <w:sz w:val="24"/>
          <w:highlight w:val="none"/>
          <w:lang w:eastAsia="zh-CN"/>
        </w:rPr>
        <w:t>、可能涉及到的相关法律条款或法律指引</w:t>
      </w:r>
      <w:r>
        <w:rPr>
          <w:rFonts w:hint="eastAsia" w:ascii="宋体" w:hAnsi="宋体" w:cs="宋体"/>
          <w:color w:val="auto"/>
          <w:sz w:val="24"/>
          <w:highlight w:val="none"/>
        </w:rPr>
        <w:t>等</w:t>
      </w:r>
      <w:r>
        <w:rPr>
          <w:rFonts w:hint="eastAsia" w:ascii="宋体" w:hAnsi="宋体" w:cs="宋体"/>
          <w:color w:val="auto"/>
          <w:sz w:val="24"/>
          <w:highlight w:val="none"/>
          <w:lang w:eastAsia="zh-CN"/>
        </w:rPr>
        <w:t>。</w:t>
      </w:r>
    </w:p>
    <w:p>
      <w:pPr>
        <w:pStyle w:val="2"/>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③本项目案件的服务流程及实施执行</w:t>
      </w:r>
      <w:r>
        <w:rPr>
          <w:rFonts w:hint="eastAsia" w:ascii="宋体" w:hAnsi="宋体" w:cs="宋体"/>
          <w:color w:val="auto"/>
          <w:sz w:val="24"/>
          <w:highlight w:val="none"/>
          <w:lang w:eastAsia="zh-CN"/>
        </w:rPr>
        <w:t>：</w:t>
      </w:r>
    </w:p>
    <w:p>
      <w:pPr>
        <w:pStyle w:val="2"/>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kern w:val="2"/>
          <w:sz w:val="24"/>
          <w:szCs w:val="24"/>
          <w:highlight w:val="none"/>
          <w:lang w:bidi="ar"/>
        </w:rPr>
        <w:t>载明主办律师或协办律师亲自与公司方对接，且每周提供书面案情进展资料</w:t>
      </w:r>
      <w:r>
        <w:rPr>
          <w:rFonts w:hint="eastAsia" w:ascii="宋体" w:hAnsi="宋体" w:cs="宋体"/>
          <w:color w:val="auto"/>
          <w:kern w:val="2"/>
          <w:sz w:val="24"/>
          <w:szCs w:val="24"/>
          <w:highlight w:val="none"/>
          <w:lang w:eastAsia="zh-CN" w:bidi="ar"/>
        </w:rPr>
        <w:t>等服务内容</w:t>
      </w:r>
      <w:r>
        <w:rPr>
          <w:rFonts w:hint="eastAsia" w:ascii="宋体" w:hAnsi="宋体" w:cs="宋体"/>
          <w:color w:val="auto"/>
          <w:kern w:val="2"/>
          <w:sz w:val="24"/>
          <w:szCs w:val="24"/>
          <w:highlight w:val="none"/>
          <w:lang w:bidi="ar"/>
        </w:rPr>
        <w:t>。</w:t>
      </w:r>
    </w:p>
    <w:p>
      <w:pPr>
        <w:pStyle w:val="2"/>
        <w:spacing w:line="360" w:lineRule="auto"/>
        <w:ind w:left="0" w:leftChars="0" w:firstLine="480" w:firstLineChars="200"/>
        <w:rPr>
          <w:rFonts w:hint="eastAsia" w:ascii="宋体" w:hAnsi="宋体" w:cs="宋体"/>
          <w:color w:val="auto"/>
          <w:sz w:val="24"/>
          <w:highlight w:val="none"/>
          <w:lang w:bidi="ar"/>
        </w:rPr>
      </w:pPr>
      <w:r>
        <w:rPr>
          <w:rFonts w:hint="eastAsia" w:ascii="宋体" w:hAnsi="宋体" w:cs="宋体"/>
          <w:color w:val="auto"/>
          <w:sz w:val="24"/>
          <w:highlight w:val="none"/>
          <w:lang w:bidi="ar"/>
        </w:rPr>
        <w:t>④案件进度控制</w:t>
      </w:r>
      <w:r>
        <w:rPr>
          <w:rFonts w:hint="eastAsia" w:ascii="宋体" w:hAnsi="宋体" w:cs="宋体"/>
          <w:color w:val="auto"/>
          <w:sz w:val="24"/>
          <w:highlight w:val="none"/>
          <w:lang w:val="en-US" w:eastAsia="zh-CN" w:bidi="ar"/>
        </w:rPr>
        <w:t>措施</w:t>
      </w:r>
      <w:r>
        <w:rPr>
          <w:rFonts w:hint="eastAsia" w:ascii="宋体" w:hAnsi="宋体" w:cs="宋体"/>
          <w:color w:val="auto"/>
          <w:sz w:val="24"/>
          <w:highlight w:val="none"/>
          <w:lang w:bidi="ar"/>
        </w:rPr>
        <w:t>；</w:t>
      </w:r>
    </w:p>
    <w:p>
      <w:pPr>
        <w:pStyle w:val="2"/>
        <w:spacing w:line="360" w:lineRule="auto"/>
        <w:ind w:left="0" w:leftChars="0" w:firstLine="480" w:firstLineChars="200"/>
        <w:rPr>
          <w:rFonts w:hint="eastAsia" w:ascii="宋体" w:hAnsi="宋体" w:cs="宋体"/>
          <w:color w:val="auto"/>
          <w:sz w:val="24"/>
          <w:highlight w:val="none"/>
          <w:lang w:bidi="ar"/>
        </w:rPr>
      </w:pPr>
      <w:r>
        <w:rPr>
          <w:rFonts w:hint="eastAsia" w:ascii="宋体" w:hAnsi="宋体" w:cs="宋体"/>
          <w:color w:val="auto"/>
          <w:kern w:val="2"/>
          <w:sz w:val="24"/>
          <w:szCs w:val="24"/>
          <w:highlight w:val="none"/>
          <w:lang w:eastAsia="zh-CN" w:bidi="ar"/>
        </w:rPr>
        <w:t>包含形式公诉、刑事自诉、民事诉讼的自资料准备到诉讼过程走完可能花费的时间预估等，及各过程的控制。</w:t>
      </w:r>
    </w:p>
    <w:p>
      <w:pPr>
        <w:pStyle w:val="2"/>
        <w:spacing w:line="360" w:lineRule="auto"/>
        <w:ind w:left="0" w:leftChars="0" w:firstLine="480" w:firstLineChars="200"/>
        <w:rPr>
          <w:rFonts w:hint="eastAsia" w:ascii="宋体" w:hAnsi="宋体" w:eastAsia="宋体" w:cs="宋体"/>
          <w:color w:val="auto"/>
          <w:sz w:val="24"/>
          <w:highlight w:val="none"/>
          <w:lang w:eastAsia="zh-CN" w:bidi="ar"/>
        </w:rPr>
      </w:pPr>
      <w:r>
        <w:rPr>
          <w:rFonts w:hint="eastAsia" w:ascii="宋体" w:hAnsi="宋体" w:cs="宋体"/>
          <w:color w:val="auto"/>
          <w:sz w:val="24"/>
          <w:highlight w:val="none"/>
          <w:lang w:bidi="ar"/>
        </w:rPr>
        <w:t>⑤案件操作思路及处置方式</w:t>
      </w:r>
      <w:r>
        <w:rPr>
          <w:rFonts w:hint="eastAsia" w:ascii="宋体" w:hAnsi="宋体" w:cs="宋体"/>
          <w:color w:val="auto"/>
          <w:sz w:val="24"/>
          <w:highlight w:val="none"/>
          <w:lang w:eastAsia="zh-CN" w:bidi="ar"/>
        </w:rPr>
        <w:t>：</w:t>
      </w:r>
    </w:p>
    <w:p>
      <w:pPr>
        <w:pStyle w:val="2"/>
        <w:spacing w:line="360" w:lineRule="auto"/>
        <w:ind w:firstLine="480" w:firstLineChars="200"/>
        <w:rPr>
          <w:rFonts w:hint="eastAsia" w:ascii="宋体" w:hAnsi="宋体" w:cs="宋体"/>
          <w:color w:val="auto"/>
          <w:sz w:val="24"/>
          <w:highlight w:val="none"/>
          <w:lang w:eastAsia="zh-CN" w:bidi="ar"/>
        </w:rPr>
      </w:pPr>
      <w:r>
        <w:rPr>
          <w:rFonts w:hint="eastAsia" w:ascii="宋体" w:hAnsi="宋体" w:cs="宋体"/>
          <w:color w:val="auto"/>
          <w:kern w:val="2"/>
          <w:sz w:val="24"/>
          <w:szCs w:val="24"/>
          <w:highlight w:val="none"/>
          <w:lang w:eastAsia="zh-CN" w:bidi="ar"/>
        </w:rPr>
        <w:t>包含</w:t>
      </w:r>
      <w:r>
        <w:rPr>
          <w:rFonts w:hint="eastAsia" w:ascii="宋体" w:hAnsi="宋体" w:cs="宋体"/>
          <w:color w:val="auto"/>
          <w:kern w:val="2"/>
          <w:sz w:val="24"/>
          <w:szCs w:val="24"/>
          <w:highlight w:val="none"/>
          <w:lang w:bidi="ar"/>
        </w:rPr>
        <w:t>对案件背景理解和认识</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刑事公诉的诉讼目的，以及</w:t>
      </w:r>
      <w:r>
        <w:rPr>
          <w:rFonts w:hint="eastAsia" w:ascii="宋体" w:hAnsi="宋体" w:cs="宋体"/>
          <w:color w:val="auto"/>
          <w:kern w:val="2"/>
          <w:sz w:val="24"/>
          <w:szCs w:val="24"/>
          <w:highlight w:val="none"/>
          <w:lang w:eastAsia="zh-CN" w:bidi="ar"/>
        </w:rPr>
        <w:t>协助比选人</w:t>
      </w:r>
      <w:r>
        <w:rPr>
          <w:rFonts w:hint="eastAsia" w:ascii="宋体" w:hAnsi="宋体" w:cs="宋体"/>
          <w:color w:val="auto"/>
          <w:kern w:val="2"/>
          <w:sz w:val="24"/>
          <w:szCs w:val="24"/>
          <w:highlight w:val="none"/>
          <w:lang w:bidi="ar"/>
        </w:rPr>
        <w:t>如何达到</w:t>
      </w:r>
      <w:r>
        <w:rPr>
          <w:rFonts w:hint="eastAsia" w:ascii="宋体" w:hAnsi="宋体" w:cs="宋体"/>
          <w:color w:val="auto"/>
          <w:kern w:val="2"/>
          <w:sz w:val="24"/>
          <w:szCs w:val="24"/>
          <w:highlight w:val="none"/>
          <w:lang w:eastAsia="zh-CN" w:bidi="ar"/>
        </w:rPr>
        <w:t>该</w:t>
      </w:r>
      <w:r>
        <w:rPr>
          <w:rFonts w:hint="eastAsia" w:ascii="宋体" w:hAnsi="宋体" w:cs="宋体"/>
          <w:color w:val="auto"/>
          <w:kern w:val="2"/>
          <w:sz w:val="24"/>
          <w:szCs w:val="24"/>
          <w:highlight w:val="none"/>
          <w:lang w:bidi="ar"/>
        </w:rPr>
        <w:t>目的</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刑事自诉的诉讼目的，以及</w:t>
      </w:r>
      <w:r>
        <w:rPr>
          <w:rFonts w:hint="eastAsia" w:ascii="宋体" w:hAnsi="宋体" w:cs="宋体"/>
          <w:color w:val="auto"/>
          <w:kern w:val="2"/>
          <w:sz w:val="24"/>
          <w:szCs w:val="24"/>
          <w:highlight w:val="none"/>
          <w:lang w:eastAsia="zh-CN" w:bidi="ar"/>
        </w:rPr>
        <w:t>协助比选人</w:t>
      </w:r>
      <w:r>
        <w:rPr>
          <w:rFonts w:hint="eastAsia" w:ascii="宋体" w:hAnsi="宋体" w:cs="宋体"/>
          <w:color w:val="auto"/>
          <w:kern w:val="2"/>
          <w:sz w:val="24"/>
          <w:szCs w:val="24"/>
          <w:highlight w:val="none"/>
          <w:lang w:bidi="ar"/>
        </w:rPr>
        <w:t>如何达到</w:t>
      </w:r>
      <w:r>
        <w:rPr>
          <w:rFonts w:hint="eastAsia" w:ascii="宋体" w:hAnsi="宋体" w:cs="宋体"/>
          <w:color w:val="auto"/>
          <w:kern w:val="2"/>
          <w:sz w:val="24"/>
          <w:szCs w:val="24"/>
          <w:highlight w:val="none"/>
          <w:lang w:eastAsia="zh-CN" w:bidi="ar"/>
        </w:rPr>
        <w:t>该</w:t>
      </w:r>
      <w:r>
        <w:rPr>
          <w:rFonts w:hint="eastAsia" w:ascii="宋体" w:hAnsi="宋体" w:cs="宋体"/>
          <w:color w:val="auto"/>
          <w:kern w:val="2"/>
          <w:sz w:val="24"/>
          <w:szCs w:val="24"/>
          <w:highlight w:val="none"/>
          <w:lang w:bidi="ar"/>
        </w:rPr>
        <w:t>目的</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民事诉讼的诉讼目的，以及</w:t>
      </w:r>
      <w:r>
        <w:rPr>
          <w:rFonts w:hint="eastAsia" w:ascii="宋体" w:hAnsi="宋体" w:cs="宋体"/>
          <w:color w:val="auto"/>
          <w:kern w:val="2"/>
          <w:sz w:val="24"/>
          <w:szCs w:val="24"/>
          <w:highlight w:val="none"/>
          <w:lang w:eastAsia="zh-CN" w:bidi="ar"/>
        </w:rPr>
        <w:t>如何协助比选人</w:t>
      </w:r>
      <w:r>
        <w:rPr>
          <w:rFonts w:hint="eastAsia" w:ascii="宋体" w:hAnsi="宋体" w:cs="宋体"/>
          <w:color w:val="auto"/>
          <w:kern w:val="2"/>
          <w:sz w:val="24"/>
          <w:szCs w:val="24"/>
          <w:highlight w:val="none"/>
          <w:lang w:bidi="ar"/>
        </w:rPr>
        <w:t>如何达到</w:t>
      </w:r>
      <w:r>
        <w:rPr>
          <w:rFonts w:hint="eastAsia" w:ascii="宋体" w:hAnsi="宋体" w:cs="宋体"/>
          <w:color w:val="auto"/>
          <w:kern w:val="2"/>
          <w:sz w:val="24"/>
          <w:szCs w:val="24"/>
          <w:highlight w:val="none"/>
          <w:lang w:eastAsia="zh-CN" w:bidi="ar"/>
        </w:rPr>
        <w:t>该</w:t>
      </w:r>
      <w:r>
        <w:rPr>
          <w:rFonts w:hint="eastAsia" w:ascii="宋体" w:hAnsi="宋体" w:cs="宋体"/>
          <w:color w:val="auto"/>
          <w:kern w:val="2"/>
          <w:sz w:val="24"/>
          <w:szCs w:val="24"/>
          <w:highlight w:val="none"/>
          <w:lang w:bidi="ar"/>
        </w:rPr>
        <w:t>目的</w:t>
      </w:r>
      <w:r>
        <w:rPr>
          <w:rFonts w:hint="eastAsia" w:ascii="宋体" w:hAnsi="宋体" w:cs="宋体"/>
          <w:color w:val="auto"/>
          <w:kern w:val="2"/>
          <w:sz w:val="24"/>
          <w:szCs w:val="24"/>
          <w:highlight w:val="none"/>
          <w:lang w:eastAsia="zh-CN" w:bidi="ar"/>
        </w:rPr>
        <w:t>；怎样</w:t>
      </w:r>
      <w:r>
        <w:rPr>
          <w:rFonts w:hint="eastAsia" w:ascii="宋体" w:hAnsi="宋体" w:cs="宋体"/>
          <w:color w:val="auto"/>
          <w:kern w:val="2"/>
          <w:sz w:val="24"/>
          <w:szCs w:val="24"/>
          <w:highlight w:val="none"/>
          <w:lang w:bidi="ar"/>
        </w:rPr>
        <w:t>配合比选人的工作。</w:t>
      </w:r>
    </w:p>
    <w:p>
      <w:pPr>
        <w:pStyle w:val="2"/>
        <w:spacing w:line="360" w:lineRule="auto"/>
        <w:ind w:left="0" w:leftChars="0" w:firstLine="480" w:firstLineChars="200"/>
        <w:rPr>
          <w:rFonts w:hint="eastAsia" w:ascii="宋体" w:hAnsi="宋体" w:cs="宋体"/>
          <w:color w:val="auto"/>
          <w:sz w:val="24"/>
          <w:highlight w:val="none"/>
          <w:lang w:eastAsia="zh-CN" w:bidi="ar"/>
        </w:rPr>
      </w:pPr>
      <w:r>
        <w:rPr>
          <w:rFonts w:hint="eastAsia" w:ascii="宋体" w:hAnsi="宋体" w:eastAsia="宋体" w:cs="宋体"/>
          <w:color w:val="auto"/>
          <w:sz w:val="24"/>
          <w:highlight w:val="none"/>
          <w:lang w:eastAsia="zh-CN" w:bidi="ar"/>
        </w:rPr>
        <w:t>⑥</w:t>
      </w:r>
      <w:r>
        <w:rPr>
          <w:rFonts w:hint="eastAsia" w:ascii="宋体" w:hAnsi="宋体" w:cs="宋体"/>
          <w:color w:val="auto"/>
          <w:sz w:val="24"/>
          <w:highlight w:val="none"/>
          <w:lang w:bidi="ar"/>
        </w:rPr>
        <w:t>案件所涉及的法律风险防范措施</w:t>
      </w:r>
      <w:r>
        <w:rPr>
          <w:rFonts w:hint="eastAsia" w:ascii="宋体" w:hAnsi="宋体" w:cs="宋体"/>
          <w:color w:val="auto"/>
          <w:sz w:val="24"/>
          <w:highlight w:val="none"/>
          <w:lang w:eastAsia="zh-CN" w:bidi="ar"/>
        </w:rPr>
        <w:t>：</w:t>
      </w:r>
    </w:p>
    <w:p>
      <w:pPr>
        <w:pStyle w:val="2"/>
        <w:spacing w:line="360" w:lineRule="auto"/>
        <w:ind w:firstLine="480" w:firstLineChars="200"/>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包含刑事公诉、刑事自诉、民事诉讼三个方面。</w:t>
      </w:r>
    </w:p>
    <w:p>
      <w:pPr>
        <w:pStyle w:val="2"/>
        <w:spacing w:line="360" w:lineRule="auto"/>
        <w:ind w:left="0" w:leftChars="0" w:firstLine="480" w:firstLineChars="200"/>
        <w:rPr>
          <w:rFonts w:hint="eastAsia" w:ascii="宋体" w:hAnsi="宋体" w:cs="宋体"/>
          <w:color w:val="auto"/>
          <w:sz w:val="24"/>
          <w:highlight w:val="none"/>
          <w:lang w:eastAsia="zh-CN" w:bidi="ar"/>
        </w:rPr>
      </w:pPr>
      <w:r>
        <w:rPr>
          <w:rFonts w:hint="eastAsia" w:ascii="宋体" w:hAnsi="宋体" w:eastAsia="宋体" w:cs="宋体"/>
          <w:color w:val="auto"/>
          <w:sz w:val="24"/>
          <w:highlight w:val="none"/>
          <w:lang w:eastAsia="zh-CN" w:bidi="ar"/>
        </w:rPr>
        <w:t>⑦</w:t>
      </w:r>
      <w:r>
        <w:rPr>
          <w:rFonts w:hint="eastAsia" w:ascii="宋体" w:hAnsi="宋体" w:cs="宋体"/>
          <w:color w:val="auto"/>
          <w:sz w:val="24"/>
          <w:highlight w:val="none"/>
          <w:lang w:bidi="ar"/>
        </w:rPr>
        <w:t>文件资料的审核、校对及移交</w:t>
      </w:r>
      <w:r>
        <w:rPr>
          <w:rFonts w:hint="eastAsia" w:ascii="宋体" w:hAnsi="宋体" w:cs="宋体"/>
          <w:color w:val="auto"/>
          <w:sz w:val="24"/>
          <w:highlight w:val="none"/>
          <w:lang w:eastAsia="zh-CN" w:bidi="ar"/>
        </w:rPr>
        <w:t>：</w:t>
      </w:r>
    </w:p>
    <w:p>
      <w:pPr>
        <w:pStyle w:val="2"/>
        <w:spacing w:line="360" w:lineRule="auto"/>
        <w:ind w:firstLine="480" w:firstLineChars="200"/>
        <w:rPr>
          <w:rFonts w:hint="eastAsia" w:ascii="宋体" w:hAnsi="宋体" w:eastAsia="宋体" w:cs="宋体"/>
          <w:color w:val="auto"/>
          <w:sz w:val="24"/>
          <w:highlight w:val="none"/>
          <w:lang w:eastAsia="zh-CN" w:bidi="ar"/>
        </w:rPr>
      </w:pPr>
      <w:r>
        <w:rPr>
          <w:rFonts w:hint="eastAsia" w:ascii="宋体" w:hAnsi="宋体" w:cs="宋体"/>
          <w:color w:val="auto"/>
          <w:kern w:val="2"/>
          <w:sz w:val="24"/>
          <w:szCs w:val="24"/>
          <w:highlight w:val="none"/>
          <w:lang w:eastAsia="zh-CN" w:bidi="ar"/>
        </w:rPr>
        <w:t>包含案卷资料的全部归档后移交等服务内容。</w:t>
      </w:r>
    </w:p>
    <w:p>
      <w:pPr>
        <w:pStyle w:val="2"/>
        <w:spacing w:line="360" w:lineRule="auto"/>
        <w:ind w:left="0" w:leftChars="0" w:firstLine="480" w:firstLineChars="200"/>
        <w:rPr>
          <w:rFonts w:hint="default" w:ascii="Times New Roman" w:hAnsi="Times New Roman" w:eastAsia="宋体" w:cs="Times New Roman"/>
          <w:color w:val="auto"/>
          <w:sz w:val="21"/>
          <w:highlight w:val="none"/>
          <w:lang w:eastAsia="zh-CN" w:bidi="ar"/>
        </w:rPr>
      </w:pPr>
      <w:r>
        <w:rPr>
          <w:rFonts w:hint="eastAsia" w:ascii="宋体" w:hAnsi="宋体" w:eastAsia="宋体" w:cs="宋体"/>
          <w:color w:val="auto"/>
          <w:sz w:val="24"/>
          <w:highlight w:val="none"/>
          <w:lang w:eastAsia="zh-CN" w:bidi="ar"/>
        </w:rPr>
        <w:t>⑧</w:t>
      </w:r>
      <w:r>
        <w:rPr>
          <w:rFonts w:hint="eastAsia" w:ascii="宋体" w:hAnsi="宋体" w:cs="宋体"/>
          <w:color w:val="auto"/>
          <w:sz w:val="24"/>
          <w:highlight w:val="none"/>
          <w:lang w:bidi="ar"/>
        </w:rPr>
        <w:t>后续服务方案</w:t>
      </w:r>
      <w:r>
        <w:rPr>
          <w:rFonts w:hint="eastAsia" w:ascii="宋体" w:hAnsi="宋体" w:cs="宋体"/>
          <w:color w:val="auto"/>
          <w:sz w:val="24"/>
          <w:highlight w:val="none"/>
          <w:lang w:eastAsia="zh-CN" w:bidi="ar"/>
        </w:rPr>
        <w:t>：</w:t>
      </w:r>
    </w:p>
    <w:p>
      <w:pPr>
        <w:pStyle w:val="2"/>
        <w:spacing w:line="360" w:lineRule="auto"/>
        <w:ind w:firstLine="480" w:firstLineChars="200"/>
        <w:rPr>
          <w:rFonts w:ascii="宋体" w:hAnsi="宋体" w:cs="宋体"/>
          <w:color w:val="auto"/>
          <w:highlight w:val="none"/>
        </w:rPr>
      </w:pPr>
      <w:r>
        <w:rPr>
          <w:rFonts w:hint="eastAsia" w:ascii="宋体" w:hAnsi="宋体" w:cs="宋体"/>
          <w:color w:val="auto"/>
          <w:kern w:val="2"/>
          <w:sz w:val="24"/>
          <w:szCs w:val="24"/>
          <w:highlight w:val="none"/>
          <w:lang w:val="en-US" w:eastAsia="zh-CN" w:bidi="ar"/>
        </w:rPr>
        <w:t>如包含</w:t>
      </w:r>
      <w:r>
        <w:rPr>
          <w:rFonts w:hint="eastAsia" w:ascii="宋体" w:hAnsi="宋体" w:cs="宋体"/>
          <w:color w:val="auto"/>
          <w:kern w:val="2"/>
          <w:sz w:val="24"/>
          <w:szCs w:val="24"/>
          <w:highlight w:val="none"/>
          <w:lang w:bidi="ar"/>
        </w:rPr>
        <w:t>关于刑事合规性培训的相关内容。</w:t>
      </w:r>
    </w:p>
    <w:p>
      <w:pPr>
        <w:pStyle w:val="4"/>
        <w:spacing w:line="360" w:lineRule="auto"/>
        <w:jc w:val="center"/>
        <w:rPr>
          <w:rFonts w:ascii="宋体" w:hAnsi="宋体" w:eastAsia="宋体" w:cs="宋体"/>
          <w:color w:val="auto"/>
          <w:sz w:val="28"/>
          <w:highlight w:val="none"/>
        </w:rPr>
      </w:pPr>
      <w:bookmarkStart w:id="51" w:name="_Toc17847_WPSOffice_Level2"/>
      <w:r>
        <w:rPr>
          <w:rFonts w:hint="eastAsia" w:ascii="宋体" w:hAnsi="宋体" w:eastAsia="宋体" w:cs="宋体"/>
          <w:color w:val="auto"/>
          <w:highlight w:val="none"/>
        </w:rPr>
        <w:t>十</w:t>
      </w:r>
      <w:r>
        <w:rPr>
          <w:rFonts w:hint="eastAsia" w:ascii="宋体" w:hAnsi="宋体" w:eastAsia="宋体" w:cs="宋体"/>
          <w:color w:val="auto"/>
          <w:highlight w:val="none"/>
          <w:lang w:eastAsia="zh-CN"/>
        </w:rPr>
        <w:t>一</w:t>
      </w:r>
      <w:r>
        <w:rPr>
          <w:rFonts w:hint="eastAsia" w:ascii="宋体" w:hAnsi="宋体" w:eastAsia="宋体" w:cs="宋体"/>
          <w:color w:val="auto"/>
          <w:highlight w:val="none"/>
        </w:rPr>
        <w:t>、其他资料及相关说明等</w:t>
      </w:r>
      <w:bookmarkEnd w:id="5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对照比选文件关于项目需求与评分规则等具体要求应当提供的其他资料、相关说明等，以及比选申请人认为可以提供的其他证明资料、相关说明等，格式自拟。</w:t>
      </w:r>
      <w:bookmarkEnd w:id="43"/>
    </w:p>
    <w:p>
      <w:pPr>
        <w:rPr>
          <w:rFonts w:ascii="宋体" w:hAnsi="宋体" w:cs="宋体"/>
          <w:color w:val="auto"/>
          <w:highlight w:val="none"/>
        </w:rPr>
      </w:pP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bookmarkStart w:id="52" w:name="_Toc29216_WPSOffice_Level1"/>
      <w:bookmarkStart w:id="53" w:name="_Toc5455_WPSOffice_Level1"/>
      <w:bookmarkStart w:id="54" w:name="_Toc217446093"/>
      <w:bookmarkStart w:id="55" w:name="_Toc12304_WPSOffice_Level1"/>
    </w:p>
    <w:p>
      <w:pPr>
        <w:pStyle w:val="3"/>
        <w:spacing w:line="360" w:lineRule="auto"/>
        <w:jc w:val="center"/>
        <w:rPr>
          <w:rFonts w:ascii="宋体" w:hAnsi="宋体" w:cs="宋体"/>
          <w:color w:val="auto"/>
          <w:sz w:val="24"/>
          <w:highlight w:val="none"/>
        </w:rPr>
      </w:pPr>
      <w:bookmarkStart w:id="56" w:name="_Toc27792"/>
      <w:r>
        <w:rPr>
          <w:rFonts w:hint="eastAsia" w:ascii="宋体" w:hAnsi="宋体" w:cs="宋体"/>
          <w:color w:val="auto"/>
          <w:highlight w:val="none"/>
        </w:rPr>
        <w:t xml:space="preserve">第四章  </w:t>
      </w:r>
      <w:bookmarkEnd w:id="52"/>
      <w:bookmarkEnd w:id="53"/>
      <w:r>
        <w:rPr>
          <w:rFonts w:hint="eastAsia" w:ascii="宋体" w:hAnsi="宋体" w:cs="宋体"/>
          <w:color w:val="auto"/>
          <w:highlight w:val="none"/>
        </w:rPr>
        <w:t>比选申请人资格证明材料</w:t>
      </w:r>
      <w:bookmarkEnd w:id="54"/>
      <w:bookmarkEnd w:id="55"/>
      <w:bookmarkEnd w:id="56"/>
    </w:p>
    <w:p>
      <w:pPr>
        <w:tabs>
          <w:tab w:val="left" w:pos="7665"/>
        </w:tabs>
        <w:snapToGrid w:val="0"/>
        <w:spacing w:line="360" w:lineRule="auto"/>
        <w:rPr>
          <w:rFonts w:ascii="宋体" w:hAnsi="宋体" w:cs="宋体"/>
          <w:b/>
          <w:color w:val="auto"/>
          <w:sz w:val="24"/>
          <w:highlight w:val="none"/>
        </w:rPr>
      </w:pPr>
      <w:bookmarkStart w:id="57" w:name="_Toc2507_WPSOffice_Level2"/>
      <w:bookmarkStart w:id="58" w:name="_Toc29661_WPSOffice_Level2"/>
      <w:bookmarkStart w:id="59" w:name="_Toc443658848"/>
      <w:r>
        <w:rPr>
          <w:rFonts w:hint="eastAsia" w:ascii="宋体" w:hAnsi="宋体" w:cs="宋体"/>
          <w:b/>
          <w:color w:val="auto"/>
          <w:sz w:val="24"/>
          <w:highlight w:val="none"/>
        </w:rPr>
        <w:t>一、应当提供的比选申请人资格、资质性及其他类似效力要求的相关证明材料</w:t>
      </w:r>
      <w:bookmarkEnd w:id="57"/>
      <w:bookmarkEnd w:id="58"/>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具有独立承担民事责任的能力。（注：①比选申请人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复印件）。</w:t>
      </w:r>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提供具备健全的财务会计制度的证明材料。（①可提供2019或2020或2021年经审计的财务报告复印件（至少包含审计报告和审计报告中所涉及的财务报表和报表附注）；②也可提供2019或2020或2021年度比选申请人内部的任1个月财务报表复印件（至少包含资产负债表）；③也可提供距文件递交截止日一年内银行出具的资信证明（复印件）；④比选申请人注册时间至文件递交截止日不足1年的，也可提供在工商备案的公司章程（复印件）；⑤也可提供承诺函（格式详见第三章）。</w:t>
      </w:r>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3、提供具备良好商业信誉的承诺函原件（格式详见第三章）。</w:t>
      </w:r>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4、提供具有依法缴纳税收和社会保障资金的良好记录的承诺函原件（格式详见第三章）。</w:t>
      </w:r>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5、提供具备履行合同所必需的设备和专业技术能力的承诺函原件（格式详见第三章）。</w:t>
      </w:r>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6、提供参加本次采购活动前3年内，</w:t>
      </w:r>
      <w:r>
        <w:rPr>
          <w:rFonts w:hint="eastAsia" w:ascii="宋体" w:hAnsi="宋体" w:cs="宋体"/>
          <w:bCs/>
          <w:color w:val="auto"/>
          <w:sz w:val="24"/>
          <w:highlight w:val="none"/>
        </w:rPr>
        <w:t>未受行业处罚，</w:t>
      </w:r>
      <w:r>
        <w:rPr>
          <w:rFonts w:hint="eastAsia" w:ascii="宋体" w:hAnsi="宋体" w:cs="宋体"/>
          <w:color w:val="auto"/>
          <w:sz w:val="24"/>
          <w:highlight w:val="none"/>
        </w:rPr>
        <w:t>在经营活动中没有重大违法记录的承诺函原件（格式详见第三章）。</w:t>
      </w:r>
    </w:p>
    <w:p>
      <w:pPr>
        <w:tabs>
          <w:tab w:val="left" w:pos="7665"/>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7、提供具备法律、行政法规规定的其他条件的承诺函原件（格式详见第三章）。</w:t>
      </w: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8、提供参加本项目的比选申请人、法定代表人或主要负责人在前三年内无行贿犯罪记录的承诺函原件（格式详见第三章）。</w:t>
      </w:r>
    </w:p>
    <w:p>
      <w:pPr>
        <w:pStyle w:val="2"/>
        <w:spacing w:after="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9、以律师事务所为单位参加的，应提供经年检有效的律师事务所执业证书。（提供证书复印件）</w:t>
      </w:r>
    </w:p>
    <w:p>
      <w:pPr>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10、参照第六张评选办法中相关人员资历和业绩相关文件要求。</w:t>
      </w:r>
    </w:p>
    <w:p>
      <w:pPr>
        <w:pStyle w:val="2"/>
        <w:rPr>
          <w:rFonts w:hint="default"/>
          <w:color w:val="auto"/>
          <w:highlight w:val="none"/>
          <w:lang w:val="en-US" w:eastAsia="zh-CN"/>
        </w:rPr>
      </w:pPr>
    </w:p>
    <w:p>
      <w:pPr>
        <w:tabs>
          <w:tab w:val="left" w:pos="7665"/>
        </w:tabs>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二、其他类似效力要求：</w:t>
      </w:r>
      <w:bookmarkEnd w:id="59"/>
    </w:p>
    <w:p>
      <w:pPr>
        <w:tabs>
          <w:tab w:val="left" w:pos="7665"/>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法定代表人授权书（原件）（法定代表人授权他人参与比选时需要提供）或法定代表人身份证明书（原件）（法定代表人参与比选时需要提供）；</w:t>
      </w:r>
    </w:p>
    <w:p>
      <w:pPr>
        <w:tabs>
          <w:tab w:val="left" w:pos="7665"/>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法定代表人或/和授权代表的身份证（双面，复印件）。</w:t>
      </w:r>
    </w:p>
    <w:p>
      <w:pPr>
        <w:tabs>
          <w:tab w:val="left" w:pos="7665"/>
        </w:tabs>
        <w:snapToGrid w:val="0"/>
        <w:spacing w:line="360" w:lineRule="auto"/>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三、第六章评选办法中相关证明文件要求：</w:t>
      </w:r>
    </w:p>
    <w:p>
      <w:pPr>
        <w:pStyle w:val="2"/>
        <w:spacing w:line="360" w:lineRule="auto"/>
        <w:ind w:firstLine="480" w:firstLineChars="200"/>
        <w:jc w:val="left"/>
        <w:rPr>
          <w:rFonts w:hint="eastAsia" w:ascii="宋体" w:hAnsi="宋体" w:cs="宋体"/>
          <w:color w:val="auto"/>
          <w:kern w:val="2"/>
          <w:sz w:val="24"/>
          <w:szCs w:val="24"/>
          <w:highlight w:val="none"/>
          <w:lang w:bidi="ar-SA"/>
        </w:rPr>
      </w:pPr>
      <w:r>
        <w:rPr>
          <w:rFonts w:hint="eastAsia" w:ascii="宋体" w:hAnsi="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eastAsia="zh-CN" w:bidi="ar-SA"/>
        </w:rPr>
        <w:t>人员资历</w:t>
      </w:r>
      <w:r>
        <w:rPr>
          <w:rFonts w:hint="eastAsia" w:ascii="宋体" w:hAnsi="宋体" w:cs="宋体"/>
          <w:color w:val="auto"/>
          <w:kern w:val="2"/>
          <w:sz w:val="24"/>
          <w:szCs w:val="24"/>
          <w:highlight w:val="none"/>
          <w:lang w:bidi="ar-SA"/>
        </w:rPr>
        <w:t>提供工作经验证明材料（包含但不限于社保、律所工作证明、机关离职工作年限证明等）并加盖比选申请人公章。</w:t>
      </w:r>
    </w:p>
    <w:p>
      <w:pPr>
        <w:pStyle w:val="2"/>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2、曾</w:t>
      </w:r>
      <w:r>
        <w:rPr>
          <w:rFonts w:hint="eastAsia" w:ascii="宋体" w:hAnsi="宋体" w:cs="宋体"/>
          <w:color w:val="auto"/>
          <w:kern w:val="2"/>
          <w:sz w:val="24"/>
          <w:szCs w:val="24"/>
          <w:highlight w:val="none"/>
          <w:lang w:bidi="ar"/>
        </w:rPr>
        <w:t>任政府、国（央）企、上市公司法律（常年/专项）顾问</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提供合同复印件并加盖比选申请人公章</w:t>
      </w:r>
      <w:r>
        <w:rPr>
          <w:rFonts w:hint="eastAsia" w:ascii="宋体" w:hAnsi="宋体" w:cs="宋体"/>
          <w:color w:val="auto"/>
          <w:kern w:val="2"/>
          <w:sz w:val="24"/>
          <w:szCs w:val="24"/>
          <w:highlight w:val="none"/>
          <w:lang w:eastAsia="zh-CN" w:bidi="ar"/>
        </w:rPr>
        <w:t>。</w:t>
      </w:r>
    </w:p>
    <w:p>
      <w:pPr>
        <w:pStyle w:val="2"/>
        <w:spacing w:line="360" w:lineRule="auto"/>
        <w:ind w:firstLine="480" w:firstLineChars="200"/>
        <w:jc w:val="left"/>
        <w:rPr>
          <w:rFonts w:hint="eastAsia" w:ascii="宋体" w:hAnsi="宋体" w:cs="宋体"/>
          <w:color w:val="auto"/>
          <w:kern w:val="2"/>
          <w:sz w:val="24"/>
          <w:szCs w:val="24"/>
          <w:highlight w:val="none"/>
          <w:lang w:bidi="ar-SA"/>
        </w:rPr>
      </w:pPr>
      <w:r>
        <w:rPr>
          <w:rFonts w:hint="eastAsia" w:ascii="宋体" w:hAnsi="宋体" w:cs="宋体"/>
          <w:color w:val="auto"/>
          <w:sz w:val="24"/>
          <w:highlight w:val="none"/>
          <w:lang w:val="en-US" w:eastAsia="zh-CN"/>
        </w:rPr>
        <w:t>3、</w:t>
      </w:r>
      <w:r>
        <w:rPr>
          <w:rFonts w:hint="eastAsia" w:ascii="宋体" w:hAnsi="宋体" w:cs="宋体"/>
          <w:color w:val="auto"/>
          <w:kern w:val="2"/>
          <w:sz w:val="24"/>
          <w:szCs w:val="24"/>
          <w:highlight w:val="none"/>
          <w:lang w:bidi="ar-SA"/>
        </w:rPr>
        <w:t>刑事律师团队专业领域</w:t>
      </w:r>
      <w:r>
        <w:rPr>
          <w:rFonts w:hint="eastAsia" w:ascii="宋体" w:hAnsi="宋体" w:cs="宋体"/>
          <w:color w:val="auto"/>
          <w:kern w:val="2"/>
          <w:sz w:val="24"/>
          <w:szCs w:val="24"/>
          <w:highlight w:val="none"/>
          <w:lang w:eastAsia="zh-CN" w:bidi="ar-SA"/>
        </w:rPr>
        <w:t>业绩证明，</w:t>
      </w:r>
      <w:r>
        <w:rPr>
          <w:rFonts w:hint="eastAsia" w:ascii="宋体" w:hAnsi="宋体" w:cs="宋体"/>
          <w:color w:val="auto"/>
          <w:kern w:val="2"/>
          <w:sz w:val="24"/>
          <w:szCs w:val="24"/>
          <w:highlight w:val="none"/>
          <w:lang w:bidi="ar-SA"/>
        </w:rPr>
        <w:t>律师曾在公检法机关任职的裁判文书等业绩证明，不受</w:t>
      </w:r>
      <w:r>
        <w:rPr>
          <w:rFonts w:hint="eastAsia" w:ascii="宋体" w:hAnsi="宋体" w:cs="宋体"/>
          <w:color w:val="auto"/>
          <w:kern w:val="2"/>
          <w:sz w:val="24"/>
          <w:szCs w:val="24"/>
          <w:highlight w:val="none"/>
          <w:lang w:eastAsia="zh-CN" w:bidi="ar-SA"/>
        </w:rPr>
        <w:t>近</w:t>
      </w:r>
      <w:r>
        <w:rPr>
          <w:rFonts w:hint="eastAsia" w:ascii="宋体" w:hAnsi="宋体" w:cs="宋体"/>
          <w:color w:val="auto"/>
          <w:kern w:val="2"/>
          <w:sz w:val="24"/>
          <w:szCs w:val="24"/>
          <w:highlight w:val="none"/>
          <w:lang w:bidi="ar-SA"/>
        </w:rPr>
        <w:t>三年</w:t>
      </w:r>
      <w:r>
        <w:rPr>
          <w:rFonts w:hint="eastAsia" w:ascii="宋体" w:hAnsi="宋体" w:cs="宋体"/>
          <w:color w:val="auto"/>
          <w:kern w:val="2"/>
          <w:sz w:val="24"/>
          <w:szCs w:val="24"/>
          <w:highlight w:val="none"/>
          <w:lang w:eastAsia="zh-CN" w:bidi="ar-SA"/>
        </w:rPr>
        <w:t>时间</w:t>
      </w:r>
      <w:r>
        <w:rPr>
          <w:rFonts w:hint="eastAsia" w:ascii="宋体" w:hAnsi="宋体" w:cs="宋体"/>
          <w:color w:val="auto"/>
          <w:kern w:val="2"/>
          <w:sz w:val="24"/>
          <w:szCs w:val="24"/>
          <w:highlight w:val="none"/>
          <w:lang w:bidi="ar-SA"/>
        </w:rPr>
        <w:t>限制，凡在职期间均符合要求。以上文件需加盖比选申请人公章。刑事合同涉及客户隐私时，可提供打码复印件，但投标截止当日提供原件及相关法律文书原件备查。</w:t>
      </w:r>
    </w:p>
    <w:p>
      <w:pPr>
        <w:pStyle w:val="2"/>
        <w:spacing w:line="360" w:lineRule="auto"/>
        <w:ind w:firstLine="480" w:firstLineChars="200"/>
        <w:jc w:val="left"/>
        <w:rPr>
          <w:rFonts w:hint="eastAsia" w:ascii="宋体" w:hAnsi="宋体" w:cs="宋体"/>
          <w:color w:val="auto"/>
          <w:kern w:val="2"/>
          <w:sz w:val="24"/>
          <w:szCs w:val="24"/>
          <w:highlight w:val="none"/>
          <w:lang w:bidi="ar-SA"/>
        </w:rPr>
      </w:pPr>
      <w:r>
        <w:rPr>
          <w:rFonts w:hint="eastAsia" w:ascii="宋体" w:hAnsi="宋体" w:cs="宋体"/>
          <w:color w:val="auto"/>
          <w:kern w:val="2"/>
          <w:sz w:val="24"/>
          <w:szCs w:val="24"/>
          <w:highlight w:val="none"/>
          <w:lang w:val="en-US" w:eastAsia="zh-CN" w:bidi="ar-SA"/>
        </w:rPr>
        <w:t>4、</w:t>
      </w:r>
      <w:r>
        <w:rPr>
          <w:rFonts w:hint="eastAsia" w:ascii="宋体" w:hAnsi="宋体" w:cs="宋体"/>
          <w:b w:val="0"/>
          <w:color w:val="auto"/>
          <w:sz w:val="24"/>
          <w:highlight w:val="none"/>
          <w:lang w:eastAsia="zh-CN"/>
        </w:rPr>
        <w:t>民</w:t>
      </w:r>
      <w:r>
        <w:rPr>
          <w:rFonts w:hint="eastAsia" w:ascii="宋体" w:hAnsi="宋体" w:cs="宋体"/>
          <w:color w:val="auto"/>
          <w:kern w:val="2"/>
          <w:sz w:val="24"/>
          <w:szCs w:val="24"/>
          <w:highlight w:val="none"/>
          <w:lang w:bidi="ar-SA"/>
        </w:rPr>
        <w:t>事律师团队专业领域</w:t>
      </w:r>
      <w:r>
        <w:rPr>
          <w:rFonts w:hint="eastAsia" w:ascii="宋体" w:hAnsi="宋体" w:cs="宋体"/>
          <w:color w:val="auto"/>
          <w:kern w:val="2"/>
          <w:sz w:val="24"/>
          <w:szCs w:val="24"/>
          <w:highlight w:val="none"/>
          <w:lang w:eastAsia="zh-CN" w:bidi="ar-SA"/>
        </w:rPr>
        <w:t>业绩证明，</w:t>
      </w:r>
      <w:r>
        <w:rPr>
          <w:rFonts w:hint="eastAsia" w:ascii="宋体" w:hAnsi="宋体" w:cs="宋体"/>
          <w:color w:val="auto"/>
          <w:kern w:val="2"/>
          <w:sz w:val="24"/>
          <w:szCs w:val="24"/>
          <w:highlight w:val="none"/>
          <w:lang w:bidi="ar-SA"/>
        </w:rPr>
        <w:t>律师曾在公检法机关任职的裁判文书等业绩证明，不受</w:t>
      </w:r>
      <w:r>
        <w:rPr>
          <w:rFonts w:hint="eastAsia" w:ascii="宋体" w:hAnsi="宋体" w:cs="宋体"/>
          <w:color w:val="auto"/>
          <w:kern w:val="2"/>
          <w:sz w:val="24"/>
          <w:szCs w:val="24"/>
          <w:highlight w:val="none"/>
          <w:lang w:eastAsia="zh-CN" w:bidi="ar-SA"/>
        </w:rPr>
        <w:t>近三年时间</w:t>
      </w:r>
      <w:r>
        <w:rPr>
          <w:rFonts w:hint="eastAsia" w:ascii="宋体" w:hAnsi="宋体" w:cs="宋体"/>
          <w:color w:val="auto"/>
          <w:kern w:val="2"/>
          <w:sz w:val="24"/>
          <w:szCs w:val="24"/>
          <w:highlight w:val="none"/>
          <w:lang w:bidi="ar-SA"/>
        </w:rPr>
        <w:t>限制，凡在职期间均符合要求。以上文件需加盖比选申请人公章。</w:t>
      </w:r>
    </w:p>
    <w:p>
      <w:pPr>
        <w:rPr>
          <w:rFonts w:hint="default" w:eastAsia="宋体"/>
          <w:color w:val="auto"/>
          <w:highlight w:val="none"/>
          <w:lang w:val="en-US" w:eastAsia="zh-CN"/>
        </w:rPr>
      </w:pPr>
    </w:p>
    <w:p>
      <w:pPr>
        <w:pStyle w:val="2"/>
        <w:rPr>
          <w:rFonts w:hint="default"/>
          <w:color w:val="auto"/>
          <w:highlight w:val="none"/>
          <w:lang w:val="en-US" w:eastAsia="zh-CN"/>
        </w:rPr>
      </w:pPr>
    </w:p>
    <w:p>
      <w:pPr>
        <w:pStyle w:val="31"/>
        <w:snapToGrid w:val="0"/>
        <w:ind w:firstLine="0" w:firstLineChars="0"/>
        <w:rPr>
          <w:rFonts w:ascii="宋体" w:hAnsi="宋体" w:cs="宋体"/>
          <w:color w:val="auto"/>
          <w:sz w:val="24"/>
          <w:highlight w:val="none"/>
        </w:rPr>
      </w:pPr>
      <w:r>
        <w:rPr>
          <w:rFonts w:hint="eastAsia" w:ascii="宋体" w:hAnsi="宋体" w:cs="宋体"/>
          <w:color w:val="auto"/>
          <w:sz w:val="24"/>
          <w:highlight w:val="none"/>
        </w:rPr>
        <w:t>说明：</w:t>
      </w:r>
    </w:p>
    <w:p>
      <w:pPr>
        <w:pStyle w:val="31"/>
        <w:snapToGrid w:val="0"/>
        <w:ind w:firstLine="0" w:firstLineChars="0"/>
        <w:rPr>
          <w:rFonts w:ascii="宋体" w:hAnsi="宋体" w:cs="宋体"/>
          <w:b/>
          <w:bCs/>
          <w:color w:val="auto"/>
          <w:sz w:val="24"/>
          <w:highlight w:val="none"/>
        </w:rPr>
      </w:pPr>
      <w:r>
        <w:rPr>
          <w:rFonts w:hint="eastAsia" w:ascii="宋体" w:hAnsi="宋体" w:cs="宋体"/>
          <w:b/>
          <w:bCs/>
          <w:color w:val="auto"/>
          <w:sz w:val="24"/>
          <w:highlight w:val="none"/>
        </w:rPr>
        <w:t>（1）比选申请人提供的以上资格证明材料均应加盖比选申请人公章；</w:t>
      </w:r>
    </w:p>
    <w:p>
      <w:pPr>
        <w:pStyle w:val="31"/>
        <w:snapToGrid w:val="0"/>
        <w:ind w:firstLine="0" w:firstLineChars="0"/>
        <w:rPr>
          <w:rFonts w:ascii="宋体" w:hAnsi="宋体" w:cs="宋体"/>
          <w:b/>
          <w:bCs/>
          <w:color w:val="auto"/>
          <w:sz w:val="24"/>
          <w:highlight w:val="none"/>
        </w:rPr>
      </w:pPr>
      <w:r>
        <w:rPr>
          <w:rFonts w:hint="eastAsia" w:ascii="宋体" w:hAnsi="宋体" w:cs="宋体"/>
          <w:b/>
          <w:bCs/>
          <w:color w:val="auto"/>
          <w:sz w:val="24"/>
          <w:highlight w:val="none"/>
        </w:rPr>
        <w:t>（2）比选申请人所提供的资格证明材料应当真实、有效。</w:t>
      </w:r>
    </w:p>
    <w:p>
      <w:pPr>
        <w:pStyle w:val="31"/>
        <w:snapToGrid w:val="0"/>
        <w:ind w:firstLine="0" w:firstLineChars="0"/>
        <w:rPr>
          <w:rFonts w:ascii="宋体" w:hAnsi="宋体" w:cs="宋体"/>
          <w:color w:val="auto"/>
          <w:sz w:val="24"/>
          <w:highlight w:val="none"/>
        </w:rPr>
      </w:pPr>
    </w:p>
    <w:p>
      <w:pPr>
        <w:pStyle w:val="9"/>
        <w:spacing w:line="360" w:lineRule="auto"/>
        <w:ind w:firstLine="0" w:firstLineChars="0"/>
        <w:rPr>
          <w:rFonts w:ascii="宋体" w:hAnsi="宋体" w:cs="宋体"/>
          <w:bCs/>
          <w:color w:val="auto"/>
          <w:sz w:val="28"/>
          <w:szCs w:val="28"/>
          <w:highlight w:val="none"/>
        </w:rPr>
      </w:pPr>
      <w:r>
        <w:rPr>
          <w:rFonts w:hint="eastAsia" w:ascii="宋体" w:hAnsi="宋体" w:cs="宋体"/>
          <w:bCs/>
          <w:color w:val="auto"/>
          <w:sz w:val="28"/>
          <w:szCs w:val="28"/>
          <w:highlight w:val="none"/>
        </w:rPr>
        <w:br w:type="page"/>
      </w:r>
    </w:p>
    <w:p>
      <w:pPr>
        <w:pStyle w:val="3"/>
        <w:numPr>
          <w:ilvl w:val="0"/>
          <w:numId w:val="1"/>
        </w:numPr>
        <w:spacing w:line="360" w:lineRule="auto"/>
        <w:jc w:val="center"/>
        <w:rPr>
          <w:rFonts w:ascii="宋体" w:hAnsi="宋体" w:cs="宋体"/>
          <w:color w:val="auto"/>
          <w:highlight w:val="none"/>
        </w:rPr>
      </w:pPr>
      <w:bookmarkStart w:id="60" w:name="_Toc20214"/>
      <w:bookmarkStart w:id="61" w:name="_Toc27536_WPSOffice_Level1"/>
      <w:bookmarkStart w:id="62" w:name="_Toc7330"/>
      <w:bookmarkStart w:id="63" w:name="_Toc15142"/>
      <w:r>
        <w:rPr>
          <w:rFonts w:hint="eastAsia" w:ascii="宋体" w:hAnsi="宋体" w:cs="宋体"/>
          <w:color w:val="auto"/>
          <w:highlight w:val="none"/>
        </w:rPr>
        <w:t xml:space="preserve">  技术、服务、商务及其他要求</w:t>
      </w:r>
      <w:bookmarkEnd w:id="60"/>
      <w:bookmarkEnd w:id="61"/>
    </w:p>
    <w:p>
      <w:pPr>
        <w:spacing w:line="360" w:lineRule="auto"/>
        <w:jc w:val="lef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一、项目概况</w:t>
      </w:r>
    </w:p>
    <w:p>
      <w:pPr>
        <w:widowControl/>
        <w:shd w:val="clear" w:color="auto" w:fill="FFFFFF"/>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为积极解决成都成粮蓉泰供应链管理有限公司（下称“蓉泰公司”）与乌兰浩特金秋粮油进出口有限公司的诉讼案件纠纷，现蓉泰公司拟通过公开比选方式，选聘律师事务所提供专项法律服务。</w:t>
      </w:r>
    </w:p>
    <w:p>
      <w:pPr>
        <w:widowControl/>
        <w:shd w:val="clear" w:color="auto" w:fill="FFFFFF"/>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2020年10月29日，蓉泰公司与乌兰浩特金秋粮油进出口有限公司（下称“金秋公司”）签订《粮食代收代储合同》，约定由金秋公司代为收购2021年产玉米暂定5万吨，收购单价及数量以金秋公司确认的《收购日报表》为准，收购完成后玉米存储在金秋公司位于乌兰浩特市东郊胜利林场西侧、国道111东侧的仓库，待接到蓉泰公司《出库通知单》后金秋公司放货出库，期间，金秋公司对库存货物负有仓储保管之义务，合同履行期限至2022年9月30日止。蓉泰公司派员对货物进行监管。后蓉泰公司将该笔货物销售给了乌兰浩特祥弘商贸有限公司有限公司（下称“祥弘公司”），双方签订了销售合同，但祥弘公司合同期内未按合同约定履行全部提货义务。</w:t>
      </w:r>
    </w:p>
    <w:p>
      <w:pPr>
        <w:widowControl/>
        <w:shd w:val="clear" w:color="auto" w:fill="FFFFFF"/>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2021年11月12日，蓉泰公司再次与金秋公司合作，签订《粮食代收代储合同》，收购完成后存在金秋公司同一库点，蓉泰公司派员对货物进行监管。后蓉泰公司将这笔货物销售给了乌兰浩特祥弘商贸有限公司有限公司（下称“祥弘公司”），双方签订了销售合同，但祥弘公司合同期内未提货。</w:t>
      </w:r>
    </w:p>
    <w:p>
      <w:pPr>
        <w:widowControl/>
        <w:shd w:val="clear" w:color="auto" w:fill="FFFFFF"/>
        <w:spacing w:line="360" w:lineRule="auto"/>
        <w:ind w:firstLine="480" w:firstLineChars="200"/>
        <w:rPr>
          <w:rFonts w:ascii="宋体" w:hAnsi="宋体" w:cs="宋体"/>
          <w:bCs/>
          <w:color w:val="auto"/>
          <w:sz w:val="24"/>
          <w:highlight w:val="none"/>
        </w:rPr>
      </w:pPr>
      <w:r>
        <w:rPr>
          <w:rFonts w:hint="eastAsia" w:ascii="宋体" w:hAnsi="宋体" w:cs="宋体"/>
          <w:color w:val="auto"/>
          <w:sz w:val="24"/>
          <w:szCs w:val="32"/>
          <w:highlight w:val="none"/>
        </w:rPr>
        <w:t>2022年8月25日，蓉泰公司监管员发现库存异常，经公司方核实，金秋公司仓库内存放的玉米数量严重短缺</w:t>
      </w:r>
      <w:r>
        <w:rPr>
          <w:rFonts w:hint="eastAsia" w:ascii="宋体" w:hAnsi="宋体" w:cs="宋体"/>
          <w:color w:val="auto"/>
          <w:sz w:val="24"/>
          <w:szCs w:val="32"/>
          <w:highlight w:val="none"/>
          <w:lang w:eastAsia="zh-CN"/>
        </w:rPr>
        <w:t>。其中，蓉泰公司两笔代收带出合同，实际共收27889.474</w:t>
      </w:r>
      <w:r>
        <w:rPr>
          <w:rFonts w:hint="eastAsia" w:ascii="宋体" w:hAnsi="宋体" w:cs="宋体"/>
          <w:color w:val="auto"/>
          <w:sz w:val="24"/>
          <w:szCs w:val="32"/>
          <w:highlight w:val="none"/>
          <w:lang w:val="en-US" w:eastAsia="zh-CN"/>
        </w:rPr>
        <w:t xml:space="preserve">  吨，两笔销售合同祥弘公司总计提货15752.42吨，蓉泰公司发现货物异常自行处置剩余货物总计 3797.58吨。</w:t>
      </w:r>
      <w:r>
        <w:rPr>
          <w:rFonts w:hint="eastAsia" w:ascii="宋体" w:hAnsi="宋体" w:cs="宋体"/>
          <w:color w:val="auto"/>
          <w:sz w:val="24"/>
          <w:szCs w:val="32"/>
          <w:highlight w:val="none"/>
        </w:rPr>
        <w:t>最终发现丢失了8,339.474吨。现决定启动司法程序维护蓉泰公司权益。</w:t>
      </w:r>
    </w:p>
    <w:p>
      <w:pPr>
        <w:spacing w:line="360" w:lineRule="auto"/>
        <w:jc w:val="lef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二、服务内容及要求（实质性要求）</w:t>
      </w:r>
    </w:p>
    <w:p>
      <w:pPr>
        <w:pStyle w:val="2"/>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提供本案包括一审（含保全）、二审、执行全过程法律服务，包括刑事控告、刑事自诉（附带民事诉讼）、民事诉讼（代理参加诉讼一审、二审、再审及执行程序）等。服务期间为比选人提供刑事合规培训不低于2次。</w:t>
      </w:r>
    </w:p>
    <w:p>
      <w:pPr>
        <w:pStyle w:val="2"/>
        <w:spacing w:after="0" w:line="360" w:lineRule="auto"/>
        <w:ind w:firstLine="480"/>
        <w:rPr>
          <w:rFonts w:ascii="宋体" w:hAnsi="宋体" w:cs="宋体"/>
          <w:color w:val="auto"/>
          <w:sz w:val="24"/>
          <w:highlight w:val="none"/>
        </w:rPr>
      </w:pPr>
      <w:r>
        <w:rPr>
          <w:rFonts w:hint="eastAsia" w:ascii="宋体" w:hAnsi="宋体" w:cs="宋体"/>
          <w:color w:val="auto"/>
          <w:sz w:val="24"/>
          <w:highlight w:val="none"/>
        </w:rPr>
        <w:t>2、比选控制价：</w:t>
      </w:r>
    </w:p>
    <w:p>
      <w:pPr>
        <w:pStyle w:val="2"/>
        <w:spacing w:after="0" w:line="360" w:lineRule="auto"/>
        <w:ind w:firstLine="480"/>
        <w:rPr>
          <w:color w:val="auto"/>
          <w:sz w:val="24"/>
          <w:highlight w:val="none"/>
        </w:rPr>
      </w:pPr>
      <w:r>
        <w:rPr>
          <w:rFonts w:hint="eastAsia"/>
          <w:color w:val="auto"/>
          <w:sz w:val="24"/>
          <w:highlight w:val="none"/>
        </w:rPr>
        <w:t>关于</w:t>
      </w:r>
      <w:r>
        <w:rPr>
          <w:rFonts w:hint="eastAsia" w:ascii="宋体" w:hAnsi="宋体" w:cs="宋体"/>
          <w:color w:val="auto"/>
          <w:sz w:val="24"/>
          <w:highlight w:val="none"/>
        </w:rPr>
        <w:t>比选控制价：为有效维护我单位合法权益，本次法律服务采购项目包含刑事</w:t>
      </w:r>
      <w:r>
        <w:rPr>
          <w:rFonts w:hint="eastAsia"/>
          <w:color w:val="auto"/>
          <w:sz w:val="24"/>
          <w:highlight w:val="none"/>
        </w:rPr>
        <w:t>控告、刑事自诉、民事诉讼三个方面工作，三个方面必须按先后顺序依次开展，比选人分阶段支付服务费用，最终合计支付总额不超过人民币</w:t>
      </w:r>
      <w:r>
        <w:rPr>
          <w:color w:val="auto"/>
          <w:sz w:val="24"/>
          <w:highlight w:val="none"/>
        </w:rPr>
        <w:t>50</w:t>
      </w:r>
      <w:r>
        <w:rPr>
          <w:rFonts w:hint="eastAsia"/>
          <w:color w:val="auto"/>
          <w:sz w:val="24"/>
          <w:highlight w:val="none"/>
        </w:rPr>
        <w:t>万元（不含），具体控价标准如下：</w:t>
      </w:r>
    </w:p>
    <w:tbl>
      <w:tblPr>
        <w:tblStyle w:val="19"/>
        <w:tblW w:w="8745" w:type="dxa"/>
        <w:tblInd w:w="93" w:type="dxa"/>
        <w:tblBorders>
          <w:top w:val="none" w:color="auto" w:sz="0"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5"/>
        <w:gridCol w:w="5310"/>
      </w:tblGrid>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5" w:type="dxa"/>
            <w:gridSpan w:val="2"/>
            <w:tcBorders>
              <w:bottom w:val="single" w:color="auto" w:sz="4" w:space="0"/>
              <w:tl2br w:val="nil"/>
              <w:tr2bl w:val="nil"/>
            </w:tcBorders>
            <w:shd w:val="clear" w:color="auto" w:fill="auto"/>
            <w:noWrap/>
            <w:vAlign w:val="center"/>
          </w:tcPr>
          <w:p>
            <w:pPr>
              <w:widowControl/>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一、刑事公诉</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付费</w:t>
            </w:r>
          </w:p>
        </w:tc>
        <w:tc>
          <w:tcPr>
            <w:tcW w:w="5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限价</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1、前期法律服务费</w:t>
            </w:r>
          </w:p>
        </w:tc>
        <w:tc>
          <w:tcPr>
            <w:tcW w:w="5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不超过人民币12万元</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2、全过程法律服务费</w:t>
            </w:r>
          </w:p>
        </w:tc>
        <w:tc>
          <w:tcPr>
            <w:tcW w:w="5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不超过人民币23万元</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总计    </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35万元</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5" w:type="dxa"/>
            <w:tcBorders>
              <w:top w:val="single" w:color="auto" w:sz="4" w:space="0"/>
              <w:tl2br w:val="nil"/>
              <w:tr2bl w:val="nil"/>
            </w:tcBorders>
            <w:shd w:val="clear" w:color="auto" w:fill="auto"/>
            <w:vAlign w:val="center"/>
          </w:tcPr>
          <w:p>
            <w:pPr>
              <w:jc w:val="left"/>
              <w:rPr>
                <w:rFonts w:ascii="宋体" w:hAnsi="宋体" w:cs="宋体"/>
                <w:color w:val="auto"/>
                <w:sz w:val="24"/>
                <w:highlight w:val="none"/>
              </w:rPr>
            </w:pPr>
          </w:p>
        </w:tc>
        <w:tc>
          <w:tcPr>
            <w:tcW w:w="5310" w:type="dxa"/>
            <w:tcBorders>
              <w:top w:val="single" w:color="auto" w:sz="4" w:space="0"/>
              <w:tl2br w:val="nil"/>
              <w:tr2bl w:val="nil"/>
            </w:tcBorders>
            <w:shd w:val="clear" w:color="auto" w:fill="auto"/>
            <w:vAlign w:val="center"/>
          </w:tcPr>
          <w:p>
            <w:pPr>
              <w:jc w:val="left"/>
              <w:rPr>
                <w:rFonts w:ascii="宋体" w:hAnsi="宋体" w:cs="宋体"/>
                <w:color w:val="auto"/>
                <w:sz w:val="24"/>
                <w:highlight w:val="none"/>
              </w:rPr>
            </w:pP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8745" w:type="dxa"/>
            <w:gridSpan w:val="2"/>
            <w:tcBorders>
              <w:bottom w:val="single" w:color="auto" w:sz="4" w:space="0"/>
              <w:tl2br w:val="nil"/>
              <w:tr2bl w:val="nil"/>
            </w:tcBorders>
            <w:shd w:val="clear" w:color="auto" w:fill="auto"/>
            <w:vAlign w:val="center"/>
          </w:tcPr>
          <w:p>
            <w:pPr>
              <w:widowControl/>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二、刑事自诉（附带民事诉讼）</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付费</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限价</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全过程法律服务费</w:t>
            </w:r>
          </w:p>
        </w:tc>
        <w:tc>
          <w:tcPr>
            <w:tcW w:w="53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240" w:firstLineChars="10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不超过人民币10万元</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总计       </w:t>
            </w:r>
          </w:p>
        </w:tc>
        <w:tc>
          <w:tcPr>
            <w:tcW w:w="5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10万元</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35" w:type="dxa"/>
            <w:tcBorders>
              <w:top w:val="single" w:color="auto" w:sz="4" w:space="0"/>
              <w:tl2br w:val="nil"/>
              <w:tr2bl w:val="nil"/>
            </w:tcBorders>
            <w:shd w:val="clear" w:color="auto" w:fill="auto"/>
            <w:vAlign w:val="center"/>
          </w:tcPr>
          <w:p>
            <w:pPr>
              <w:jc w:val="left"/>
              <w:rPr>
                <w:rFonts w:ascii="宋体" w:hAnsi="宋体" w:cs="宋体"/>
                <w:color w:val="auto"/>
                <w:sz w:val="24"/>
                <w:highlight w:val="none"/>
              </w:rPr>
            </w:pPr>
          </w:p>
        </w:tc>
        <w:tc>
          <w:tcPr>
            <w:tcW w:w="5310" w:type="dxa"/>
            <w:tcBorders>
              <w:top w:val="single" w:color="auto" w:sz="4" w:space="0"/>
              <w:tl2br w:val="nil"/>
              <w:tr2bl w:val="nil"/>
            </w:tcBorders>
            <w:shd w:val="clear" w:color="auto" w:fill="auto"/>
            <w:vAlign w:val="center"/>
          </w:tcPr>
          <w:p>
            <w:pPr>
              <w:jc w:val="left"/>
              <w:rPr>
                <w:rFonts w:ascii="宋体" w:hAnsi="宋体" w:cs="宋体"/>
                <w:color w:val="auto"/>
                <w:sz w:val="24"/>
                <w:highlight w:val="none"/>
              </w:rPr>
            </w:pP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35" w:type="dxa"/>
            <w:tcBorders>
              <w:bottom w:val="single" w:color="000000" w:sz="8" w:space="0"/>
              <w:tl2br w:val="nil"/>
              <w:tr2bl w:val="nil"/>
            </w:tcBorders>
            <w:shd w:val="clear" w:color="auto" w:fill="auto"/>
            <w:vAlign w:val="center"/>
          </w:tcPr>
          <w:p>
            <w:pPr>
              <w:widowControl/>
              <w:jc w:val="left"/>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三、民事诉讼</w:t>
            </w:r>
          </w:p>
        </w:tc>
        <w:tc>
          <w:tcPr>
            <w:tcW w:w="5310" w:type="dxa"/>
            <w:tcBorders>
              <w:bottom w:val="single" w:color="000000" w:sz="8" w:space="0"/>
              <w:tl2br w:val="nil"/>
              <w:tr2bl w:val="nil"/>
            </w:tcBorders>
            <w:shd w:val="clear" w:color="auto" w:fill="auto"/>
            <w:vAlign w:val="center"/>
          </w:tcPr>
          <w:p>
            <w:pPr>
              <w:jc w:val="left"/>
              <w:rPr>
                <w:rFonts w:ascii="宋体" w:hAnsi="宋体" w:cs="宋体"/>
                <w:color w:val="auto"/>
                <w:sz w:val="24"/>
                <w:highlight w:val="none"/>
              </w:rPr>
            </w:pP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3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付费</w:t>
            </w:r>
          </w:p>
        </w:tc>
        <w:tc>
          <w:tcPr>
            <w:tcW w:w="53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限价</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3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4"/>
                <w:highlight w:val="none"/>
                <w:lang w:bidi="ar"/>
              </w:rPr>
              <w:t>全</w:t>
            </w:r>
            <w:r>
              <w:rPr>
                <w:rFonts w:hint="eastAsia" w:ascii="宋体" w:hAnsi="宋体" w:cs="宋体"/>
                <w:color w:val="auto"/>
                <w:kern w:val="0"/>
                <w:sz w:val="24"/>
                <w:highlight w:val="none"/>
                <w:lang w:eastAsia="zh-CN" w:bidi="ar"/>
              </w:rPr>
              <w:t>阶段</w:t>
            </w:r>
            <w:r>
              <w:rPr>
                <w:rFonts w:hint="eastAsia" w:ascii="宋体" w:hAnsi="宋体" w:cs="宋体"/>
                <w:color w:val="auto"/>
                <w:kern w:val="0"/>
                <w:sz w:val="24"/>
                <w:highlight w:val="none"/>
                <w:lang w:bidi="ar"/>
              </w:rPr>
              <w:t>法律服务费</w:t>
            </w:r>
          </w:p>
        </w:tc>
        <w:tc>
          <w:tcPr>
            <w:tcW w:w="53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不超过人民币</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万元</w:t>
            </w:r>
          </w:p>
        </w:tc>
      </w:tr>
      <w:tr>
        <w:tblPrEx>
          <w:tblBorders>
            <w:top w:val="none" w:color="auto" w:sz="0"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35" w:type="dxa"/>
            <w:tcBorders>
              <w:top w:val="single" w:color="000000" w:sz="8" w:space="0"/>
              <w:left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总计</w:t>
            </w:r>
          </w:p>
        </w:tc>
        <w:tc>
          <w:tcPr>
            <w:tcW w:w="5310" w:type="dxa"/>
            <w:tcBorders>
              <w:top w:val="single" w:color="000000" w:sz="8" w:space="0"/>
              <w:left w:val="single" w:color="000000" w:sz="8"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万元</w:t>
            </w:r>
            <w:r>
              <w:rPr>
                <w:rFonts w:hint="eastAsia" w:ascii="宋体" w:hAnsi="宋体" w:cs="宋体"/>
                <w:color w:val="auto"/>
                <w:kern w:val="0"/>
                <w:sz w:val="24"/>
                <w:highlight w:val="none"/>
                <w:lang w:eastAsia="zh-CN" w:bidi="ar"/>
              </w:rPr>
              <w:t>（不含）</w:t>
            </w:r>
          </w:p>
        </w:tc>
      </w:tr>
    </w:tbl>
    <w:p>
      <w:pPr>
        <w:ind w:firstLine="480" w:firstLineChars="200"/>
        <w:rPr>
          <w:rFonts w:ascii="宋体" w:hAnsi="宋体" w:cs="宋体"/>
          <w:color w:val="auto"/>
          <w:sz w:val="24"/>
          <w:highlight w:val="none"/>
        </w:rPr>
      </w:pPr>
    </w:p>
    <w:p>
      <w:pPr>
        <w:ind w:firstLine="480" w:firstLineChars="200"/>
        <w:rPr>
          <w:rFonts w:ascii="宋体" w:hAnsi="宋体" w:cs="宋体"/>
          <w:color w:val="auto"/>
          <w:sz w:val="24"/>
          <w:highlight w:val="none"/>
        </w:rPr>
      </w:pPr>
      <w:r>
        <w:rPr>
          <w:rFonts w:hint="eastAsia" w:ascii="宋体" w:hAnsi="宋体" w:cs="宋体"/>
          <w:color w:val="auto"/>
          <w:sz w:val="24"/>
          <w:highlight w:val="none"/>
        </w:rPr>
        <w:t>3、服务要求</w:t>
      </w:r>
    </w:p>
    <w:p>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3.1按照法律规定，选择实现委托人合法权益的最优解决途径；</w:t>
      </w:r>
    </w:p>
    <w:p>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3.2专项法律事务办理完结后，及时将全部重要资料进行整理，交委托人归档；</w:t>
      </w:r>
    </w:p>
    <w:p>
      <w:pPr>
        <w:pStyle w:val="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3.3在本案的服务周期内，应每5个工作日与委托人就案件进行情况进行沟通与分析，如有最新进展随时反馈委托人不受前款时间限制；</w:t>
      </w:r>
    </w:p>
    <w:p>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3.4对委托人的商业秘密和提供的各类文件承担保密义务，未经委托人允许不得将与本案相关的信息泄露给第三者。</w:t>
      </w:r>
    </w:p>
    <w:p>
      <w:pPr>
        <w:ind w:firstLine="480" w:firstLineChars="200"/>
        <w:rPr>
          <w:rFonts w:hint="eastAsia" w:ascii="宋体" w:hAnsi="宋体" w:cs="宋体"/>
          <w:color w:val="auto"/>
          <w:sz w:val="24"/>
          <w:highlight w:val="none"/>
        </w:rPr>
      </w:pPr>
    </w:p>
    <w:p>
      <w:pPr>
        <w:pStyle w:val="2"/>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4、服务方案要求</w:t>
      </w:r>
    </w:p>
    <w:p>
      <w:pPr>
        <w:pStyle w:val="2"/>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比选申请人</w:t>
      </w:r>
      <w:r>
        <w:rPr>
          <w:rFonts w:hint="eastAsia" w:ascii="宋体" w:hAnsi="宋体" w:cs="宋体"/>
          <w:color w:val="auto"/>
          <w:sz w:val="24"/>
          <w:highlight w:val="none"/>
        </w:rPr>
        <w:t>需针对本项目在</w:t>
      </w:r>
      <w:r>
        <w:rPr>
          <w:rFonts w:hint="eastAsia" w:ascii="宋体" w:hAnsi="宋体" w:cs="宋体"/>
          <w:color w:val="auto"/>
          <w:sz w:val="24"/>
          <w:highlight w:val="none"/>
          <w:lang w:val="en-US" w:eastAsia="zh-CN"/>
        </w:rPr>
        <w:t>比选申请</w:t>
      </w:r>
      <w:r>
        <w:rPr>
          <w:rFonts w:hint="eastAsia" w:ascii="宋体" w:hAnsi="宋体" w:cs="宋体"/>
          <w:color w:val="auto"/>
          <w:sz w:val="24"/>
          <w:highlight w:val="none"/>
        </w:rPr>
        <w:t>文件中提供总体实施方案：包括①项目人员配置与分工；②专业知识的准备；③本项目案件的服务流程及实施执行；④案件进度控制</w:t>
      </w:r>
      <w:r>
        <w:rPr>
          <w:rFonts w:hint="eastAsia" w:ascii="宋体" w:hAnsi="宋体" w:cs="宋体"/>
          <w:color w:val="auto"/>
          <w:sz w:val="24"/>
          <w:highlight w:val="none"/>
          <w:lang w:val="en-US" w:eastAsia="zh-CN"/>
        </w:rPr>
        <w:t>措施</w:t>
      </w:r>
      <w:r>
        <w:rPr>
          <w:rFonts w:hint="eastAsia" w:ascii="宋体" w:hAnsi="宋体" w:cs="宋体"/>
          <w:color w:val="auto"/>
          <w:sz w:val="24"/>
          <w:highlight w:val="none"/>
        </w:rPr>
        <w:t>；⑤案件操作思路及处置方式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⑥</w:t>
      </w:r>
      <w:r>
        <w:rPr>
          <w:rFonts w:hint="eastAsia" w:ascii="宋体" w:hAnsi="宋体" w:cs="宋体"/>
          <w:color w:val="auto"/>
          <w:sz w:val="24"/>
          <w:highlight w:val="none"/>
        </w:rPr>
        <w:t>案件所涉及的法律风险防范措施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⑦</w:t>
      </w:r>
      <w:r>
        <w:rPr>
          <w:rFonts w:hint="eastAsia" w:ascii="宋体" w:hAnsi="宋体" w:cs="宋体"/>
          <w:color w:val="auto"/>
          <w:sz w:val="24"/>
          <w:highlight w:val="none"/>
        </w:rPr>
        <w:t>文件资料的审核、校对及移交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⑧</w:t>
      </w:r>
      <w:r>
        <w:rPr>
          <w:rFonts w:hint="eastAsia" w:ascii="宋体" w:hAnsi="宋体" w:cs="宋体"/>
          <w:color w:val="auto"/>
          <w:sz w:val="24"/>
          <w:highlight w:val="none"/>
        </w:rPr>
        <w:t>后续服务方案。</w:t>
      </w:r>
      <w:r>
        <w:rPr>
          <w:rFonts w:hint="eastAsia" w:ascii="宋体" w:hAnsi="宋体" w:cs="宋体"/>
          <w:color w:val="auto"/>
          <w:sz w:val="24"/>
          <w:highlight w:val="none"/>
          <w:lang w:eastAsia="zh-CN"/>
        </w:rPr>
        <w:t>详见比选文件方案第十项服务方案要求。</w:t>
      </w:r>
    </w:p>
    <w:p>
      <w:pPr>
        <w:pStyle w:val="2"/>
        <w:ind w:firstLine="480" w:firstLineChars="200"/>
        <w:rPr>
          <w:rFonts w:hint="eastAsia" w:ascii="宋体" w:hAnsi="宋体" w:cs="宋体"/>
          <w:b w:val="0"/>
          <w:bCs w:val="0"/>
          <w:color w:val="auto"/>
          <w:sz w:val="24"/>
          <w:szCs w:val="24"/>
          <w:highlight w:val="none"/>
        </w:rPr>
      </w:pPr>
    </w:p>
    <w:p>
      <w:pPr>
        <w:spacing w:line="360" w:lineRule="auto"/>
        <w:jc w:val="lef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三、商务要求（实质性要求）</w:t>
      </w:r>
    </w:p>
    <w:p>
      <w:pPr>
        <w:tabs>
          <w:tab w:val="left" w:pos="766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1、服务期限：自代理合同签订之日起至本案</w:t>
      </w:r>
      <w:r>
        <w:rPr>
          <w:rFonts w:hint="eastAsia" w:ascii="宋体" w:hAnsi="宋体" w:cs="宋体"/>
          <w:color w:val="auto"/>
          <w:sz w:val="24"/>
          <w:highlight w:val="none"/>
          <w:lang w:eastAsia="zh-CN"/>
        </w:rPr>
        <w:t>法律服务采购项目法律事务</w:t>
      </w:r>
      <w:r>
        <w:rPr>
          <w:rFonts w:hint="eastAsia" w:ascii="宋体" w:hAnsi="宋体" w:cs="宋体"/>
          <w:color w:val="auto"/>
          <w:sz w:val="24"/>
          <w:highlight w:val="none"/>
        </w:rPr>
        <w:t>完结。</w:t>
      </w:r>
    </w:p>
    <w:p>
      <w:pPr>
        <w:tabs>
          <w:tab w:val="left" w:pos="766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2、服务地点：比选人指定地点。</w:t>
      </w:r>
    </w:p>
    <w:p>
      <w:pPr>
        <w:tabs>
          <w:tab w:val="left" w:pos="766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3、付款方式：按节点支付，在达到付款条件且收到中选单位提供对应金额的发票后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w:t>
      </w:r>
      <w:r>
        <w:rPr>
          <w:rFonts w:hint="eastAsia" w:ascii="宋体" w:hAnsi="宋体" w:cs="宋体"/>
          <w:color w:val="auto"/>
          <w:sz w:val="24"/>
          <w:highlight w:val="none"/>
        </w:rPr>
        <w:t>内支付。</w:t>
      </w:r>
    </w:p>
    <w:p>
      <w:pPr>
        <w:tabs>
          <w:tab w:val="left" w:pos="766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4、报价要求：比选申请人的报价应该包括本次项目委托代理法律服务费和成都市内差旅费。其他第三方机构费用（含诉讼费、保全费、成都市外差旅费、专家论证费等）由招标人据实支付。</w:t>
      </w: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5、履约验收方式：按国家有关规定以及本项目比选文件的质量要求和技术指标或者中选人的比选申请文件及承诺等进行验收。</w:t>
      </w:r>
    </w:p>
    <w:p>
      <w:pPr>
        <w:tabs>
          <w:tab w:val="left" w:pos="766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p>
    <w:p>
      <w:pPr>
        <w:pStyle w:val="3"/>
        <w:spacing w:line="360" w:lineRule="auto"/>
        <w:jc w:val="center"/>
        <w:rPr>
          <w:rFonts w:ascii="宋体" w:hAnsi="宋体" w:cs="宋体"/>
          <w:color w:val="auto"/>
          <w:highlight w:val="none"/>
        </w:rPr>
      </w:pPr>
      <w:bookmarkStart w:id="64" w:name="_Toc1385_WPSOffice_Level1"/>
      <w:bookmarkStart w:id="65" w:name="_Toc14184_WPSOffice_Level1"/>
      <w:bookmarkStart w:id="66" w:name="_Toc27120"/>
      <w:r>
        <w:rPr>
          <w:rFonts w:hint="eastAsia" w:ascii="宋体" w:hAnsi="宋体" w:cs="宋体"/>
          <w:color w:val="auto"/>
          <w:highlight w:val="none"/>
        </w:rPr>
        <w:t>第六章  评选办法</w:t>
      </w:r>
      <w:bookmarkEnd w:id="62"/>
      <w:bookmarkEnd w:id="63"/>
      <w:bookmarkEnd w:id="64"/>
      <w:bookmarkEnd w:id="65"/>
      <w:bookmarkEnd w:id="66"/>
      <w:bookmarkStart w:id="67" w:name="_Toc183682415"/>
      <w:bookmarkEnd w:id="67"/>
      <w:bookmarkStart w:id="68" w:name="_Toc183582280"/>
      <w:bookmarkEnd w:id="68"/>
      <w:bookmarkStart w:id="69" w:name="_Toc217446097"/>
      <w:bookmarkEnd w:id="69"/>
      <w:bookmarkStart w:id="70" w:name="_Hlt101846155"/>
      <w:bookmarkEnd w:id="70"/>
      <w:bookmarkStart w:id="71" w:name="_Toc208849007"/>
      <w:bookmarkEnd w:id="71"/>
    </w:p>
    <w:p>
      <w:pPr>
        <w:spacing w:line="360" w:lineRule="auto"/>
        <w:ind w:firstLine="482" w:firstLineChars="200"/>
        <w:jc w:val="left"/>
        <w:rPr>
          <w:rFonts w:ascii="宋体" w:hAnsi="宋体" w:cs="宋体"/>
          <w:b/>
          <w:bCs/>
          <w:color w:val="auto"/>
          <w:sz w:val="24"/>
          <w:highlight w:val="none"/>
        </w:rPr>
      </w:pPr>
      <w:bookmarkStart w:id="72" w:name="_Toc14082"/>
      <w:bookmarkStart w:id="73" w:name="_Toc6223_WPSOffice_Level2"/>
      <w:bookmarkStart w:id="74" w:name="_Toc25063_WPSOffice_Level2"/>
      <w:bookmarkStart w:id="75" w:name="_Toc509_WPSOffice_Level2"/>
      <w:bookmarkStart w:id="76" w:name="_Toc21179"/>
      <w:r>
        <w:rPr>
          <w:rFonts w:hint="eastAsia" w:ascii="宋体" w:hAnsi="宋体" w:cs="宋体"/>
          <w:b/>
          <w:bCs/>
          <w:color w:val="auto"/>
          <w:sz w:val="24"/>
          <w:highlight w:val="none"/>
        </w:rPr>
        <w:t>1.总则</w:t>
      </w:r>
      <w:bookmarkEnd w:id="72"/>
      <w:bookmarkEnd w:id="73"/>
      <w:bookmarkEnd w:id="74"/>
      <w:bookmarkEnd w:id="75"/>
      <w:bookmarkEnd w:id="76"/>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根据《中华人民共和国招标投标法》等法律规章，结合比选项目特点制定本评选办法。</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评选工作由比选代理机构负责组织，具体评选事务由依法组建的比选小组负责。比选小组由比选人监督代表和有关技术、经济等方面的专家组成。</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评选工作应遵循公平、公正、科学及择优的原则，并以相同的评选程序和标准对待所有的比选申请人。</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比选小组按照比选文件规定的评选方法和标准进行评选，并独立履行下列职责：</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（1）审查比选申请文件是否符合比选文件要求，并作出评价；</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（2）要求比选申请人对比选申请文件有关事项作出解释或者澄清；</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（3）推荐中选候选参选单位名单，或者受比选人委托按照事先确定的办法直接确定中选参选单位；</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（4）向招标比选单位或者有关部门报告非法干预评选工作的行为。</w:t>
      </w:r>
      <w:bookmarkStart w:id="77" w:name="_Toc217446098"/>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评选过程严格保密。比选申请人对比选小组的评选过程或合同授予决定施加影响的任何行为都可能导致其投标被拒绝。</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1.6比选小组决定比选申请文件的响应性依据比选申请文件本身的内容，而不寻求外部的证据。</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1.7比选小组发现比选文件表述不明确或需要说明的事项，可提请招标比选单位书面解释说明。发现比选文件违反有关法律、法规和规章的，可以拒绝评选，并向招标比选单位书面说明情况。</w:t>
      </w:r>
    </w:p>
    <w:p>
      <w:pPr>
        <w:spacing w:line="360" w:lineRule="auto"/>
        <w:ind w:firstLine="482" w:firstLineChars="200"/>
        <w:jc w:val="left"/>
        <w:rPr>
          <w:rFonts w:ascii="宋体" w:hAnsi="宋体" w:cs="宋体"/>
          <w:b/>
          <w:color w:val="auto"/>
          <w:sz w:val="24"/>
          <w:highlight w:val="none"/>
        </w:rPr>
      </w:pPr>
      <w:bookmarkStart w:id="78" w:name="_Toc1582_WPSOffice_Level2"/>
      <w:bookmarkStart w:id="79" w:name="_Toc29371_WPSOffice_Level2"/>
      <w:bookmarkStart w:id="80" w:name="_Toc10988_WPSOffice_Level2"/>
      <w:r>
        <w:rPr>
          <w:rFonts w:hint="eastAsia" w:ascii="宋体" w:hAnsi="宋体" w:cs="宋体"/>
          <w:b/>
          <w:color w:val="auto"/>
          <w:sz w:val="24"/>
          <w:highlight w:val="none"/>
        </w:rPr>
        <w:t>2.评选方法</w:t>
      </w:r>
      <w:bookmarkEnd w:id="78"/>
      <w:bookmarkEnd w:id="79"/>
      <w:bookmarkEnd w:id="80"/>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本项目评选方法为：综合评分法。</w:t>
      </w:r>
    </w:p>
    <w:p>
      <w:pPr>
        <w:spacing w:line="360" w:lineRule="auto"/>
        <w:ind w:firstLine="482" w:firstLineChars="200"/>
        <w:jc w:val="left"/>
        <w:rPr>
          <w:rFonts w:ascii="宋体" w:hAnsi="宋体" w:cs="宋体"/>
          <w:b/>
          <w:bCs/>
          <w:color w:val="auto"/>
          <w:sz w:val="24"/>
          <w:highlight w:val="none"/>
        </w:rPr>
      </w:pPr>
      <w:bookmarkStart w:id="81" w:name="_Toc15604_WPSOffice_Level2"/>
      <w:bookmarkStart w:id="82" w:name="_Toc32706_WPSOffice_Level2"/>
      <w:bookmarkStart w:id="83" w:name="_Toc17497_WPSOffice_Level2"/>
      <w:r>
        <w:rPr>
          <w:rFonts w:hint="eastAsia" w:ascii="宋体" w:hAnsi="宋体" w:cs="宋体"/>
          <w:b/>
          <w:bCs/>
          <w:color w:val="auto"/>
          <w:sz w:val="24"/>
          <w:highlight w:val="none"/>
        </w:rPr>
        <w:t>3.评选程序</w:t>
      </w:r>
      <w:bookmarkEnd w:id="77"/>
      <w:bookmarkEnd w:id="81"/>
      <w:bookmarkEnd w:id="82"/>
      <w:bookmarkEnd w:id="83"/>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3.1比选申请文件资格审查。</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比选活动开始后，比选代理机构或评审小组应当依法对比选申请人的资格进行审查。合格比选申请人不足3家的，不得评选。</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比选代理机构应依据法律法规和比选文件的规定，比选申请文件是否按照规定要求提供资格性证明材料、是否属于禁止参加比选的比选申请人等进行审查，以确定比选申请人资格是否合格。澄清有关问题。对比选申请人比选申请文件中含义不明确、同类问题表述不一致或者有明显的文字或计算错误的内容，比选小组可以书面形式要求比选申请人作出必要的澄清、说明或者纠正。</w:t>
      </w: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3.2符合性检查。</w:t>
      </w:r>
    </w:p>
    <w:p>
      <w:pPr>
        <w:pStyle w:val="2"/>
        <w:spacing w:after="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依据比选文件的规定，从比选申请文件的有效性、完整性和对比选文件的响应程度进行审查，以确定是否对比选文件的实质性要求作出响应。</w:t>
      </w:r>
    </w:p>
    <w:p>
      <w:pPr>
        <w:spacing w:line="400" w:lineRule="exact"/>
        <w:ind w:firstLine="482" w:firstLineChars="200"/>
        <w:rPr>
          <w:rFonts w:ascii="宋体" w:hAnsi="宋体" w:cs="宋体"/>
          <w:b/>
          <w:color w:val="auto"/>
          <w:sz w:val="24"/>
          <w:highlight w:val="none"/>
        </w:rPr>
      </w:pPr>
      <w:bookmarkStart w:id="84" w:name="_Toc6425_WPSOffice_Level2"/>
      <w:bookmarkStart w:id="85" w:name="_Toc26610_WPSOffice_Level2"/>
      <w:r>
        <w:rPr>
          <w:rFonts w:hint="eastAsia" w:ascii="宋体" w:hAnsi="宋体" w:cs="宋体"/>
          <w:b/>
          <w:color w:val="auto"/>
          <w:sz w:val="24"/>
          <w:highlight w:val="none"/>
        </w:rPr>
        <w:t>3.3综合评分</w:t>
      </w:r>
      <w:bookmarkEnd w:id="84"/>
      <w:bookmarkEnd w:id="85"/>
      <w:r>
        <w:rPr>
          <w:rFonts w:hint="eastAsia" w:ascii="宋体" w:hAnsi="宋体" w:cs="宋体"/>
          <w:b/>
          <w:color w:val="auto"/>
          <w:sz w:val="24"/>
          <w:highlight w:val="none"/>
        </w:rPr>
        <w:t>明细表</w:t>
      </w:r>
    </w:p>
    <w:tbl>
      <w:tblPr>
        <w:tblStyle w:val="19"/>
        <w:tblW w:w="8910" w:type="dxa"/>
        <w:tblInd w:w="93" w:type="dxa"/>
        <w:tblLayout w:type="autofit"/>
        <w:tblCellMar>
          <w:top w:w="0" w:type="dxa"/>
          <w:left w:w="108" w:type="dxa"/>
          <w:bottom w:w="0" w:type="dxa"/>
          <w:right w:w="108" w:type="dxa"/>
        </w:tblCellMar>
      </w:tblPr>
      <w:tblGrid>
        <w:gridCol w:w="1485"/>
        <w:gridCol w:w="1485"/>
        <w:gridCol w:w="1485"/>
        <w:gridCol w:w="1485"/>
        <w:gridCol w:w="1485"/>
        <w:gridCol w:w="1485"/>
      </w:tblGrid>
      <w:tr>
        <w:tblPrEx>
          <w:tblCellMar>
            <w:top w:w="0" w:type="dxa"/>
            <w:left w:w="108" w:type="dxa"/>
            <w:bottom w:w="0" w:type="dxa"/>
            <w:right w:w="108" w:type="dxa"/>
          </w:tblCellMar>
        </w:tblPrEx>
        <w:trPr>
          <w:trHeight w:val="315" w:hRule="atLeast"/>
        </w:trPr>
        <w:tc>
          <w:tcPr>
            <w:tcW w:w="14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48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评分</w:t>
            </w:r>
          </w:p>
        </w:tc>
        <w:tc>
          <w:tcPr>
            <w:tcW w:w="148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分值</w:t>
            </w:r>
          </w:p>
        </w:tc>
        <w:tc>
          <w:tcPr>
            <w:tcW w:w="148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分值组成</w:t>
            </w:r>
          </w:p>
        </w:tc>
        <w:tc>
          <w:tcPr>
            <w:tcW w:w="1485" w:type="dxa"/>
            <w:vMerge w:val="restar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评分标准</w:t>
            </w:r>
          </w:p>
        </w:tc>
        <w:tc>
          <w:tcPr>
            <w:tcW w:w="1485"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评分标准细则</w:t>
            </w:r>
          </w:p>
        </w:tc>
      </w:tr>
      <w:tr>
        <w:tblPrEx>
          <w:tblCellMar>
            <w:top w:w="0" w:type="dxa"/>
            <w:left w:w="108" w:type="dxa"/>
            <w:bottom w:w="0" w:type="dxa"/>
            <w:right w:w="108" w:type="dxa"/>
          </w:tblCellMar>
        </w:tblPrEx>
        <w:trPr>
          <w:trHeight w:val="285" w:hRule="atLeast"/>
        </w:trPr>
        <w:tc>
          <w:tcPr>
            <w:tcW w:w="14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及权重</w:t>
            </w:r>
          </w:p>
        </w:tc>
        <w:tc>
          <w:tcPr>
            <w:tcW w:w="148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ascii="宋体" w:hAnsi="宋体" w:cs="宋体"/>
                <w:color w:val="auto"/>
                <w:szCs w:val="21"/>
                <w:highlight w:val="none"/>
              </w:rPr>
            </w:pPr>
          </w:p>
        </w:tc>
        <w:tc>
          <w:tcPr>
            <w:tcW w:w="148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2565" w:hRule="atLeast"/>
        </w:trPr>
        <w:tc>
          <w:tcPr>
            <w:tcW w:w="14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报价</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0分</w:t>
            </w:r>
          </w:p>
        </w:tc>
        <w:tc>
          <w:tcPr>
            <w:tcW w:w="1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第一阶段：刑事</w:t>
            </w:r>
            <w:r>
              <w:rPr>
                <w:rFonts w:hint="eastAsia" w:ascii="宋体" w:hAnsi="宋体" w:cs="宋体"/>
                <w:color w:val="auto"/>
                <w:kern w:val="0"/>
                <w:szCs w:val="21"/>
                <w:highlight w:val="none"/>
                <w:lang w:val="en-US" w:eastAsia="zh-CN" w:bidi="ar"/>
              </w:rPr>
              <w:t>控告</w:t>
            </w:r>
            <w:r>
              <w:rPr>
                <w:rFonts w:hint="eastAsia" w:ascii="宋体" w:hAnsi="宋体" w:cs="宋体"/>
                <w:color w:val="auto"/>
                <w:kern w:val="0"/>
                <w:szCs w:val="21"/>
                <w:highlight w:val="none"/>
                <w:lang w:bidi="ar"/>
              </w:rPr>
              <w:t>按方案总价</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t>占1</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w:t>
            </w:r>
          </w:p>
        </w:tc>
        <w:tc>
          <w:tcPr>
            <w:tcW w:w="1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比选报价与基准价的（含正负）偏离度，进行先后排名</w:t>
            </w: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最接近基准价者为第一名得1</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分，以此类推，第二名得1</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分，第三名1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依次按</w:t>
            </w:r>
            <w:r>
              <w:rPr>
                <w:rFonts w:hint="eastAsia" w:ascii="宋体" w:hAnsi="宋体" w:cs="宋体"/>
                <w:color w:val="auto"/>
                <w:kern w:val="0"/>
                <w:szCs w:val="21"/>
                <w:highlight w:val="none"/>
                <w:lang w:val="en-US" w:eastAsia="zh-CN" w:bidi="ar"/>
              </w:rPr>
              <w:t>1分递减，</w:t>
            </w:r>
            <w:r>
              <w:rPr>
                <w:rFonts w:hint="eastAsia" w:ascii="宋体" w:hAnsi="宋体" w:cs="宋体"/>
                <w:color w:val="auto"/>
                <w:kern w:val="0"/>
                <w:szCs w:val="21"/>
                <w:highlight w:val="none"/>
                <w:lang w:bidi="ar"/>
              </w:rPr>
              <w:t>直至不得分。</w:t>
            </w:r>
          </w:p>
        </w:tc>
      </w:tr>
      <w:tr>
        <w:tblPrEx>
          <w:tblCellMar>
            <w:top w:w="0" w:type="dxa"/>
            <w:left w:w="108" w:type="dxa"/>
            <w:bottom w:w="0" w:type="dxa"/>
            <w:right w:w="108" w:type="dxa"/>
          </w:tblCellMar>
        </w:tblPrEx>
        <w:trPr>
          <w:trHeight w:val="256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第二阶段：刑事自诉（附带民事诉讼）按方案总价（占</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tc>
        <w:tc>
          <w:tcPr>
            <w:tcW w:w="1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比选报价与基准价的（含正负）偏离度，进行先后排名</w:t>
            </w: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最接近基准价者为第一名得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分，以此类推，第二名得</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分，第三名</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依次按</w:t>
            </w:r>
            <w:r>
              <w:rPr>
                <w:rFonts w:hint="eastAsia" w:ascii="宋体" w:hAnsi="宋体" w:cs="宋体"/>
                <w:color w:val="auto"/>
                <w:kern w:val="0"/>
                <w:szCs w:val="21"/>
                <w:highlight w:val="none"/>
                <w:lang w:val="en-US" w:eastAsia="zh-CN" w:bidi="ar"/>
              </w:rPr>
              <w:t>1分递减，</w:t>
            </w:r>
            <w:r>
              <w:rPr>
                <w:rFonts w:hint="eastAsia" w:ascii="宋体" w:hAnsi="宋体" w:cs="宋体"/>
                <w:color w:val="auto"/>
                <w:kern w:val="0"/>
                <w:szCs w:val="21"/>
                <w:highlight w:val="none"/>
                <w:lang w:bidi="ar"/>
              </w:rPr>
              <w:t>直至不得分。</w:t>
            </w:r>
          </w:p>
        </w:tc>
      </w:tr>
      <w:tr>
        <w:tblPrEx>
          <w:tblCellMar>
            <w:top w:w="0" w:type="dxa"/>
            <w:left w:w="108" w:type="dxa"/>
            <w:bottom w:w="0" w:type="dxa"/>
            <w:right w:w="108" w:type="dxa"/>
          </w:tblCellMar>
        </w:tblPrEx>
        <w:trPr>
          <w:trHeight w:val="256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第三阶段：民事诉讼（占</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c>
          <w:tcPr>
            <w:tcW w:w="148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比选报价与基准价的（含正负）偏离度，进行先后排名</w:t>
            </w: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最接近基准价者为第一名得</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分，以此类推，第二名得</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分，第三名</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依次按</w:t>
            </w:r>
            <w:r>
              <w:rPr>
                <w:rFonts w:hint="eastAsia" w:ascii="宋体" w:hAnsi="宋体" w:cs="宋体"/>
                <w:color w:val="auto"/>
                <w:kern w:val="0"/>
                <w:szCs w:val="21"/>
                <w:highlight w:val="none"/>
                <w:lang w:val="en-US" w:eastAsia="zh-CN" w:bidi="ar"/>
              </w:rPr>
              <w:t>1分递减，</w:t>
            </w:r>
            <w:r>
              <w:rPr>
                <w:rFonts w:hint="eastAsia" w:ascii="宋体" w:hAnsi="宋体" w:cs="宋体"/>
                <w:color w:val="auto"/>
                <w:kern w:val="0"/>
                <w:szCs w:val="21"/>
                <w:highlight w:val="none"/>
                <w:lang w:bidi="ar"/>
              </w:rPr>
              <w:t>直至不得分。</w:t>
            </w:r>
          </w:p>
        </w:tc>
      </w:tr>
      <w:tr>
        <w:tblPrEx>
          <w:tblCellMar>
            <w:top w:w="0" w:type="dxa"/>
            <w:left w:w="108" w:type="dxa"/>
            <w:bottom w:w="0" w:type="dxa"/>
            <w:right w:w="108" w:type="dxa"/>
          </w:tblCellMar>
        </w:tblPrEx>
        <w:trPr>
          <w:trHeight w:val="154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4455" w:type="dxa"/>
            <w:gridSpan w:val="3"/>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说明：1、比选基准价：参选单位不低于</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不含）</w:t>
            </w:r>
            <w:r>
              <w:rPr>
                <w:rFonts w:hint="eastAsia" w:ascii="宋体" w:hAnsi="宋体" w:cs="宋体"/>
                <w:color w:val="auto"/>
                <w:kern w:val="0"/>
                <w:szCs w:val="21"/>
                <w:highlight w:val="none"/>
                <w:lang w:bidi="ar"/>
              </w:rPr>
              <w:t>3家时，去掉最低分以后，剩下的参标单位按方案报价进行加权平均所得价为基准价。  2、比选报价为</w:t>
            </w:r>
            <w:r>
              <w:rPr>
                <w:rFonts w:hint="eastAsia" w:ascii="宋体" w:hAnsi="宋体" w:cs="宋体"/>
                <w:color w:val="auto"/>
                <w:kern w:val="0"/>
                <w:szCs w:val="21"/>
                <w:highlight w:val="none"/>
                <w:lang w:eastAsia="zh-CN" w:bidi="ar"/>
              </w:rPr>
              <w:t>分阶段中每个阶段的</w:t>
            </w:r>
            <w:r>
              <w:rPr>
                <w:rFonts w:hint="eastAsia" w:ascii="宋体" w:hAnsi="宋体" w:cs="宋体"/>
                <w:color w:val="auto"/>
                <w:kern w:val="0"/>
                <w:szCs w:val="21"/>
                <w:highlight w:val="none"/>
                <w:lang w:bidi="ar"/>
              </w:rPr>
              <w:t xml:space="preserve">报价总计金额。                                                 </w:t>
            </w:r>
          </w:p>
        </w:tc>
      </w:tr>
      <w:tr>
        <w:tblPrEx>
          <w:tblCellMar>
            <w:top w:w="0" w:type="dxa"/>
            <w:left w:w="108" w:type="dxa"/>
            <w:bottom w:w="0" w:type="dxa"/>
            <w:right w:w="108" w:type="dxa"/>
          </w:tblCellMar>
        </w:tblPrEx>
        <w:trPr>
          <w:trHeight w:val="90" w:hRule="atLeast"/>
        </w:trPr>
        <w:tc>
          <w:tcPr>
            <w:tcW w:w="14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人员1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刑事律师团队经验和资历（占</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分）</w:t>
            </w:r>
          </w:p>
        </w:tc>
        <w:tc>
          <w:tcPr>
            <w:tcW w:w="2970"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刑事律师团队人员符合以下条件：1、主办律师：取得《律师执业证书》且具备</w:t>
            </w:r>
            <w:r>
              <w:rPr>
                <w:color w:val="auto"/>
                <w:kern w:val="0"/>
                <w:szCs w:val="21"/>
                <w:highlight w:val="none"/>
                <w:lang w:bidi="ar"/>
              </w:rPr>
              <w:t>10</w:t>
            </w:r>
            <w:r>
              <w:rPr>
                <w:rFonts w:hint="eastAsia" w:ascii="宋体" w:hAnsi="宋体" w:cs="宋体"/>
                <w:color w:val="auto"/>
                <w:kern w:val="0"/>
                <w:szCs w:val="21"/>
                <w:highlight w:val="none"/>
                <w:lang w:bidi="ar"/>
              </w:rPr>
              <w:t>年（含）及以上律所工作经验（含在公检法监察委工作年限），得</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分。未达到该标准不得分。2、协办律师：取得《律师执业证书》且具备</w:t>
            </w:r>
            <w:r>
              <w:rPr>
                <w:color w:val="auto"/>
                <w:kern w:val="0"/>
                <w:szCs w:val="21"/>
                <w:highlight w:val="none"/>
                <w:lang w:bidi="ar"/>
              </w:rPr>
              <w:t>8</w:t>
            </w:r>
            <w:r>
              <w:rPr>
                <w:rFonts w:hint="eastAsia" w:ascii="宋体" w:hAnsi="宋体" w:cs="宋体"/>
                <w:color w:val="auto"/>
                <w:kern w:val="0"/>
                <w:szCs w:val="21"/>
                <w:highlight w:val="none"/>
                <w:lang w:bidi="ar"/>
              </w:rPr>
              <w:t>（含）至</w:t>
            </w:r>
            <w:r>
              <w:rPr>
                <w:color w:val="auto"/>
                <w:kern w:val="0"/>
                <w:szCs w:val="21"/>
                <w:highlight w:val="none"/>
                <w:lang w:bidi="ar"/>
              </w:rPr>
              <w:t>10</w:t>
            </w:r>
            <w:r>
              <w:rPr>
                <w:rFonts w:hint="eastAsia" w:ascii="宋体" w:hAnsi="宋体" w:cs="宋体"/>
                <w:color w:val="auto"/>
                <w:kern w:val="0"/>
                <w:szCs w:val="21"/>
                <w:highlight w:val="none"/>
                <w:lang w:bidi="ar"/>
              </w:rPr>
              <w:t>年（含）工作经验（含在公检法监察委工作年限），得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分，未达到该标准不得分。 注：提供工作经验证明材料（包含但不限于社保、律所工作证明、机关离职工作年限证明等）并加盖比选申请人公章。</w:t>
            </w:r>
          </w:p>
        </w:tc>
      </w:tr>
      <w:tr>
        <w:tblPrEx>
          <w:tblCellMar>
            <w:top w:w="0" w:type="dxa"/>
            <w:left w:w="108" w:type="dxa"/>
            <w:bottom w:w="0" w:type="dxa"/>
            <w:right w:w="108" w:type="dxa"/>
          </w:tblCellMar>
        </w:tblPrEx>
        <w:trPr>
          <w:trHeight w:val="3210"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民事律师团队经验和资历（占</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民事律师团队人员符合以下条件：1、主办律师：取得《律师执业证书》且具备10年（含）及以上律所工作经验（含在公检法监察委工作年限），得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分。未达到该标准不得分。2、协办律师：取得《律师执业证书》且具备8（含）至10年（含）工作经验（（含在公检法监察委工作年限），</w:t>
            </w:r>
            <w:r>
              <w:rPr>
                <w:rFonts w:hint="eastAsia" w:ascii="宋体" w:hAnsi="宋体" w:cs="宋体"/>
                <w:color w:val="auto"/>
                <w:kern w:val="0"/>
                <w:szCs w:val="21"/>
                <w:highlight w:val="none"/>
                <w:lang w:eastAsia="zh-CN" w:bidi="ar"/>
              </w:rPr>
              <w:t>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分，未达到该标准不得分。注：提供工作经验证明材料（包含但不限于社保、律所工作证明、机关离职工作年限证明等）并加盖比选申请人公章。</w:t>
            </w:r>
          </w:p>
        </w:tc>
      </w:tr>
      <w:tr>
        <w:tblPrEx>
          <w:tblCellMar>
            <w:top w:w="0" w:type="dxa"/>
            <w:left w:w="108" w:type="dxa"/>
            <w:bottom w:w="0" w:type="dxa"/>
            <w:right w:w="108" w:type="dxa"/>
          </w:tblCellMar>
        </w:tblPrEx>
        <w:trPr>
          <w:trHeight w:val="1605" w:hRule="atLeast"/>
        </w:trPr>
        <w:tc>
          <w:tcPr>
            <w:tcW w:w="14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业绩2</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曾任政府、国（央）企、上市公司法律（常年/专项）顾问（占5分）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律所或民/刑事律师团队个人近二年（2021年1月1日-至投标截止之日）符合以下条件：1、担任政府法律（常年或专项）顾问，得2分，未达到标准不得分。2、担任国（央）企法律（常年或专项）顾问，得2分，未达到标准不得分。3、担任上市公司（含全资子公司）法律（常年或专项）顾问，得1分。未达到标准不得分。本部分分值可叠加，但最高得5分。注：提供合同复印件并加盖比选申请人公章，不提供不得分。</w:t>
            </w:r>
          </w:p>
        </w:tc>
      </w:tr>
      <w:tr>
        <w:tblPrEx>
          <w:tblCellMar>
            <w:top w:w="0" w:type="dxa"/>
            <w:left w:w="108" w:type="dxa"/>
            <w:bottom w:w="0" w:type="dxa"/>
            <w:right w:w="108" w:type="dxa"/>
          </w:tblCellMar>
        </w:tblPrEx>
        <w:trPr>
          <w:trHeight w:val="442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刑事律师团队专业领域（占1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按本比选文件第三章第十条配备的刑事律师团队全体成员，提供近三年（2020年1月1日-至投标截止之日）办理刑事经济类案的相关业绩证明，按提供案例数量排名，第一名得1</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分，第二名得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分，第三名得</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依次每</w:t>
            </w:r>
            <w:r>
              <w:rPr>
                <w:rFonts w:hint="eastAsia" w:ascii="宋体" w:hAnsi="宋体" w:cs="宋体"/>
                <w:color w:val="auto"/>
                <w:kern w:val="0"/>
                <w:szCs w:val="21"/>
                <w:highlight w:val="none"/>
                <w:lang w:val="en-US" w:eastAsia="zh-CN" w:bidi="ar"/>
              </w:rPr>
              <w:t>2分递减，直至</w:t>
            </w:r>
            <w:r>
              <w:rPr>
                <w:rFonts w:hint="eastAsia" w:ascii="宋体" w:hAnsi="宋体" w:cs="宋体"/>
                <w:color w:val="auto"/>
                <w:kern w:val="0"/>
                <w:szCs w:val="21"/>
                <w:highlight w:val="none"/>
                <w:lang w:bidi="ar"/>
              </w:rPr>
              <w:t>不得分。注：1.律师曾在公检法机关任职的裁判文书等业绩证明，不受前款三年限制，凡在职期间均符合要求。以上文件需加盖比选申请人公章。2.刑事合同涉及客户隐私时，可提供打码复印件，但投标截止当日提供原件及相关法律文书原件备查。</w:t>
            </w:r>
          </w:p>
        </w:tc>
      </w:tr>
      <w:tr>
        <w:tblPrEx>
          <w:tblCellMar>
            <w:top w:w="0" w:type="dxa"/>
            <w:left w:w="108" w:type="dxa"/>
            <w:bottom w:w="0" w:type="dxa"/>
            <w:right w:w="108" w:type="dxa"/>
          </w:tblCellMar>
        </w:tblPrEx>
        <w:trPr>
          <w:trHeight w:val="73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民事律师团队 专业领域（占5分）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按本比选文件第三章第十条配备的民事律师团队全体成员，提供近三年（2020年1月1日-至投标截止之日）办理大宗贸易商品案（标的1000万含本数及以上）的相关业绩证明，提供案例数量排名，第一名得5分，第二名得4分，第三名得3分，第四名得2分，第五名得1分，其余不得分。注：律师曾在公检法机关任职的裁判文书等业绩证明，不受前款三年限制，凡在职期间均符合要求。以上文件需加盖比选申请人公章。</w:t>
            </w:r>
          </w:p>
        </w:tc>
      </w:tr>
      <w:tr>
        <w:tblPrEx>
          <w:tblCellMar>
            <w:top w:w="0" w:type="dxa"/>
            <w:left w:w="108" w:type="dxa"/>
            <w:bottom w:w="0" w:type="dxa"/>
            <w:right w:w="108" w:type="dxa"/>
          </w:tblCellMar>
        </w:tblPrEx>
        <w:trPr>
          <w:trHeight w:val="90" w:hRule="atLeast"/>
        </w:trPr>
        <w:tc>
          <w:tcPr>
            <w:tcW w:w="14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eastAsia="zh-CN" w:bidi="ar"/>
              </w:rPr>
              <w:t>服务</w:t>
            </w:r>
            <w:r>
              <w:rPr>
                <w:rFonts w:hint="eastAsia" w:ascii="宋体" w:hAnsi="宋体" w:cs="宋体"/>
                <w:color w:val="auto"/>
                <w:kern w:val="0"/>
                <w:szCs w:val="21"/>
                <w:highlight w:val="none"/>
                <w:lang w:bidi="ar"/>
              </w:rPr>
              <w:t>方案4</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w:t>
            </w:r>
          </w:p>
        </w:tc>
        <w:tc>
          <w:tcPr>
            <w:tcW w:w="1485"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①项目人员配置与分工（占</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满分</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内容缺失扣</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分，每有一项存在内容缺陷的扣</w:t>
            </w:r>
            <w:r>
              <w:rPr>
                <w:rFonts w:hint="eastAsia" w:ascii="宋体" w:hAnsi="宋体" w:cs="宋体"/>
                <w:color w:val="auto"/>
                <w:kern w:val="0"/>
                <w:szCs w:val="21"/>
                <w:highlight w:val="none"/>
                <w:lang w:val="en-US" w:eastAsia="zh-CN" w:bidi="ar"/>
              </w:rPr>
              <w:t>0.5</w:t>
            </w:r>
            <w:r>
              <w:rPr>
                <w:rFonts w:hint="eastAsia" w:ascii="宋体" w:hAnsi="宋体" w:cs="宋体"/>
                <w:color w:val="auto"/>
                <w:kern w:val="0"/>
                <w:szCs w:val="21"/>
                <w:highlight w:val="none"/>
                <w:lang w:bidi="ar"/>
              </w:rPr>
              <w:t>分，扣完为止。（</w:t>
            </w:r>
            <w:r>
              <w:rPr>
                <w:rFonts w:hint="eastAsia" w:ascii="宋体" w:hAnsi="宋体" w:cs="宋体"/>
                <w:color w:val="auto"/>
                <w:kern w:val="0"/>
                <w:szCs w:val="21"/>
                <w:highlight w:val="none"/>
                <w:lang w:eastAsia="zh-CN" w:bidi="ar"/>
              </w:rPr>
              <w:t>本部分主要描写本项目参与人员及各自分工，内容齐全则得满分</w:t>
            </w:r>
            <w:r>
              <w:rPr>
                <w:rFonts w:hint="eastAsia" w:ascii="宋体" w:hAnsi="宋体" w:cs="宋体"/>
                <w:color w:val="auto"/>
                <w:kern w:val="0"/>
                <w:szCs w:val="21"/>
                <w:highlight w:val="none"/>
                <w:lang w:bidi="ar"/>
              </w:rPr>
              <w:t>）。</w:t>
            </w:r>
          </w:p>
        </w:tc>
      </w:tr>
      <w:tr>
        <w:tblPrEx>
          <w:tblCellMar>
            <w:top w:w="0" w:type="dxa"/>
            <w:left w:w="108" w:type="dxa"/>
            <w:bottom w:w="0" w:type="dxa"/>
            <w:right w:w="108" w:type="dxa"/>
          </w:tblCellMar>
        </w:tblPrEx>
        <w:trPr>
          <w:trHeight w:val="90"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②专业知识的准备（包含可能涉及的法律法规整理、常用的法律文件形式列举等）（占</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满分</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分，内容缺失扣</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分，每有一项存在内容缺陷的扣0.5分，扣完为止。（</w:t>
            </w:r>
            <w:r>
              <w:rPr>
                <w:rFonts w:hint="eastAsia" w:ascii="宋体" w:hAnsi="宋体" w:cs="宋体"/>
                <w:color w:val="auto"/>
                <w:kern w:val="0"/>
                <w:sz w:val="21"/>
                <w:szCs w:val="21"/>
                <w:highlight w:val="none"/>
                <w:lang w:bidi="ar"/>
              </w:rPr>
              <w:t>包含可能涉及的法律法规整理、常用的法律文件形式列举</w:t>
            </w:r>
            <w:r>
              <w:rPr>
                <w:rFonts w:hint="eastAsia" w:ascii="宋体" w:hAnsi="宋体" w:cs="宋体"/>
                <w:color w:val="auto"/>
                <w:kern w:val="0"/>
                <w:sz w:val="21"/>
                <w:szCs w:val="21"/>
                <w:highlight w:val="none"/>
                <w:lang w:eastAsia="zh-CN" w:bidi="ar"/>
              </w:rPr>
              <w:t>、可能涉及到的相关法律条款或法律指引</w:t>
            </w:r>
            <w:r>
              <w:rPr>
                <w:rFonts w:hint="eastAsia" w:ascii="宋体" w:hAnsi="宋体" w:cs="宋体"/>
                <w:color w:val="auto"/>
                <w:kern w:val="0"/>
                <w:sz w:val="21"/>
                <w:szCs w:val="21"/>
                <w:highlight w:val="none"/>
                <w:lang w:bidi="ar"/>
              </w:rPr>
              <w:t>等</w:t>
            </w:r>
            <w:r>
              <w:rPr>
                <w:rFonts w:hint="eastAsia" w:ascii="宋体" w:hAnsi="宋体" w:cs="宋体"/>
                <w:color w:val="auto"/>
                <w:sz w:val="24"/>
                <w:highlight w:val="none"/>
                <w:lang w:eastAsia="zh-CN"/>
              </w:rPr>
              <w:t>。</w:t>
            </w:r>
            <w:r>
              <w:rPr>
                <w:rFonts w:hint="eastAsia" w:ascii="宋体" w:hAnsi="宋体" w:cs="宋体"/>
                <w:color w:val="auto"/>
                <w:kern w:val="0"/>
                <w:szCs w:val="21"/>
                <w:highlight w:val="none"/>
                <w:lang w:bidi="ar"/>
              </w:rPr>
              <w:t>）。</w:t>
            </w:r>
          </w:p>
        </w:tc>
      </w:tr>
      <w:tr>
        <w:tblPrEx>
          <w:tblCellMar>
            <w:top w:w="0" w:type="dxa"/>
            <w:left w:w="108" w:type="dxa"/>
            <w:bottom w:w="0" w:type="dxa"/>
            <w:right w:w="108" w:type="dxa"/>
          </w:tblCellMar>
        </w:tblPrEx>
        <w:trPr>
          <w:trHeight w:val="2310"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③本项目案件的服务流程及实施执行（占</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满分</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分，内容缺失扣</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分，每有一项存在内容缺陷的扣</w:t>
            </w:r>
            <w:r>
              <w:rPr>
                <w:rFonts w:hint="eastAsia" w:ascii="宋体" w:hAnsi="宋体" w:cs="宋体"/>
                <w:color w:val="auto"/>
                <w:kern w:val="0"/>
                <w:szCs w:val="21"/>
                <w:highlight w:val="none"/>
                <w:lang w:val="en-US" w:eastAsia="zh-CN" w:bidi="ar"/>
              </w:rPr>
              <w:t>0.5</w:t>
            </w:r>
            <w:r>
              <w:rPr>
                <w:rFonts w:hint="eastAsia" w:ascii="宋体" w:hAnsi="宋体" w:cs="宋体"/>
                <w:color w:val="auto"/>
                <w:kern w:val="0"/>
                <w:szCs w:val="21"/>
                <w:highlight w:val="none"/>
                <w:lang w:bidi="ar"/>
              </w:rPr>
              <w:t>分，扣完为止。</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载明主办律师或协办律师必须亲自与公司方对接，且办案过程中不可变更，每周提供书面案情进展资料</w:t>
            </w:r>
            <w:r>
              <w:rPr>
                <w:rFonts w:hint="eastAsia" w:ascii="宋体" w:hAnsi="宋体" w:cs="宋体"/>
                <w:color w:val="auto"/>
                <w:kern w:val="0"/>
                <w:szCs w:val="21"/>
                <w:highlight w:val="none"/>
                <w:lang w:eastAsia="zh-CN" w:bidi="ar"/>
              </w:rPr>
              <w:t>等服务内容。）</w:t>
            </w:r>
            <w:r>
              <w:rPr>
                <w:rFonts w:hint="eastAsia" w:ascii="宋体" w:hAnsi="宋体" w:cs="宋体"/>
                <w:color w:val="auto"/>
                <w:kern w:val="0"/>
                <w:szCs w:val="21"/>
                <w:highlight w:val="none"/>
                <w:lang w:bidi="ar"/>
              </w:rPr>
              <w:t>。</w:t>
            </w:r>
          </w:p>
        </w:tc>
      </w:tr>
      <w:tr>
        <w:tblPrEx>
          <w:tblCellMar>
            <w:top w:w="0" w:type="dxa"/>
            <w:left w:w="108" w:type="dxa"/>
            <w:bottom w:w="0" w:type="dxa"/>
            <w:right w:w="108" w:type="dxa"/>
          </w:tblCellMar>
        </w:tblPrEx>
        <w:trPr>
          <w:trHeight w:val="31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④案件进度控制</w:t>
            </w:r>
            <w:r>
              <w:rPr>
                <w:rFonts w:hint="eastAsia" w:ascii="宋体" w:hAnsi="宋体" w:cs="宋体"/>
                <w:color w:val="auto"/>
                <w:kern w:val="0"/>
                <w:szCs w:val="21"/>
                <w:highlight w:val="none"/>
                <w:lang w:val="en-US" w:eastAsia="zh-CN" w:bidi="ar"/>
              </w:rPr>
              <w:t>措施</w:t>
            </w:r>
            <w:r>
              <w:rPr>
                <w:rFonts w:hint="eastAsia" w:ascii="宋体" w:hAnsi="宋体" w:cs="宋体"/>
                <w:color w:val="auto"/>
                <w:kern w:val="0"/>
                <w:szCs w:val="21"/>
                <w:highlight w:val="none"/>
                <w:lang w:bidi="ar"/>
              </w:rPr>
              <w:t>（占</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满分</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分，内容缺失扣</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分，每有一项存在内容缺陷的扣</w:t>
            </w:r>
            <w:r>
              <w:rPr>
                <w:rFonts w:hint="eastAsia" w:ascii="宋体" w:hAnsi="宋体" w:cs="宋体"/>
                <w:color w:val="auto"/>
                <w:kern w:val="0"/>
                <w:szCs w:val="21"/>
                <w:highlight w:val="none"/>
                <w:lang w:val="en-US" w:eastAsia="zh-CN" w:bidi="ar"/>
              </w:rPr>
              <w:t>0.5</w:t>
            </w:r>
            <w:r>
              <w:rPr>
                <w:rFonts w:hint="eastAsia" w:ascii="宋体" w:hAnsi="宋体" w:cs="宋体"/>
                <w:color w:val="auto"/>
                <w:kern w:val="0"/>
                <w:szCs w:val="21"/>
                <w:highlight w:val="none"/>
                <w:lang w:bidi="ar"/>
              </w:rPr>
              <w:t>分，扣完为止。（</w:t>
            </w:r>
            <w:r>
              <w:rPr>
                <w:rFonts w:hint="eastAsia" w:ascii="宋体" w:hAnsi="宋体" w:cs="宋体"/>
                <w:color w:val="auto"/>
                <w:kern w:val="0"/>
                <w:szCs w:val="21"/>
                <w:highlight w:val="none"/>
                <w:lang w:eastAsia="zh-CN" w:bidi="ar"/>
              </w:rPr>
              <w:t>包含形式公诉、刑事自诉、民事诉讼的自资料准备到诉讼过程走完可能花费的时间预估等，及各过程的控制</w:t>
            </w:r>
            <w:r>
              <w:rPr>
                <w:rFonts w:hint="eastAsia" w:ascii="宋体" w:hAnsi="宋体" w:cs="宋体"/>
                <w:color w:val="auto"/>
                <w:kern w:val="0"/>
                <w:szCs w:val="21"/>
                <w:highlight w:val="none"/>
                <w:lang w:bidi="ar"/>
              </w:rPr>
              <w:t>）。</w:t>
            </w:r>
          </w:p>
        </w:tc>
      </w:tr>
      <w:tr>
        <w:tblPrEx>
          <w:tblCellMar>
            <w:top w:w="0" w:type="dxa"/>
            <w:left w:w="108" w:type="dxa"/>
            <w:bottom w:w="0" w:type="dxa"/>
            <w:right w:w="108" w:type="dxa"/>
          </w:tblCellMar>
        </w:tblPrEx>
        <w:trPr>
          <w:trHeight w:val="205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⑤案件操作思路及处置方式（占</w:t>
            </w:r>
            <w:r>
              <w:rPr>
                <w:rFonts w:hint="eastAsia" w:ascii="宋体" w:hAnsi="宋体" w:cs="宋体"/>
                <w:color w:val="auto"/>
                <w:kern w:val="0"/>
                <w:szCs w:val="21"/>
                <w:highlight w:val="none"/>
                <w:lang w:val="en-US" w:eastAsia="zh-CN" w:bidi="ar"/>
              </w:rPr>
              <w:t>20</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根据比选申请人对</w:t>
            </w:r>
            <w:r>
              <w:rPr>
                <w:rFonts w:hint="eastAsia" w:ascii="宋体" w:hAnsi="宋体" w:cs="宋体"/>
                <w:color w:val="auto"/>
                <w:kern w:val="0"/>
                <w:szCs w:val="21"/>
                <w:highlight w:val="none"/>
                <w:lang w:bidi="ar"/>
              </w:rPr>
              <w:t>其中案件操作及处置方式包括1、对案件背景理解和认识。2、刑事公诉的诉讼目的，以及如何达到目的。3、刑事自诉的诉讼目的，以及如何达到目的。4、民事诉讼的诉讼目的，以及如何达到目的5、怎样配合比选人的工作。</w:t>
            </w:r>
            <w:r>
              <w:rPr>
                <w:rFonts w:hint="eastAsia" w:ascii="宋体" w:hAnsi="宋体" w:cs="宋体"/>
                <w:color w:val="auto"/>
                <w:kern w:val="0"/>
                <w:szCs w:val="21"/>
                <w:highlight w:val="none"/>
                <w:lang w:val="en-US" w:eastAsia="zh-CN" w:bidi="ar"/>
              </w:rPr>
              <w:t>对方案的描述完整性、可行性，横向对比</w:t>
            </w:r>
            <w:r>
              <w:rPr>
                <w:rFonts w:hint="eastAsia" w:ascii="宋体" w:hAnsi="宋体" w:cs="宋体"/>
                <w:color w:val="auto"/>
                <w:kern w:val="0"/>
                <w:szCs w:val="21"/>
                <w:highlight w:val="none"/>
                <w:lang w:bidi="ar"/>
              </w:rPr>
              <w:t>：第一名得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0分，第二名得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8分，第三名得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6分，以此类推，每2分递减，直至不得分。</w:t>
            </w:r>
          </w:p>
        </w:tc>
      </w:tr>
      <w:tr>
        <w:tblPrEx>
          <w:tblCellMar>
            <w:top w:w="0" w:type="dxa"/>
            <w:left w:w="108" w:type="dxa"/>
            <w:bottom w:w="0" w:type="dxa"/>
            <w:right w:w="108" w:type="dxa"/>
          </w:tblCellMar>
        </w:tblPrEx>
        <w:trPr>
          <w:trHeight w:val="1545"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⑥案件所涉及的法律风险防范措施（占</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根据比选申请人对</w:t>
            </w:r>
            <w:r>
              <w:rPr>
                <w:rFonts w:hint="eastAsia" w:ascii="宋体" w:hAnsi="宋体" w:cs="宋体"/>
                <w:color w:val="auto"/>
                <w:kern w:val="0"/>
                <w:szCs w:val="21"/>
                <w:highlight w:val="none"/>
                <w:lang w:bidi="ar"/>
              </w:rPr>
              <w:t>法律风险防范措施包括1、刑事公诉的</w:t>
            </w:r>
            <w:r>
              <w:rPr>
                <w:rFonts w:hint="eastAsia" w:ascii="宋体" w:hAnsi="宋体" w:cs="宋体"/>
                <w:color w:val="auto"/>
                <w:kern w:val="0"/>
                <w:szCs w:val="21"/>
                <w:highlight w:val="none"/>
                <w:lang w:eastAsia="zh-CN" w:bidi="ar"/>
              </w:rPr>
              <w:t>法律</w:t>
            </w:r>
            <w:r>
              <w:rPr>
                <w:rFonts w:hint="eastAsia" w:ascii="宋体" w:hAnsi="宋体" w:cs="宋体"/>
                <w:color w:val="auto"/>
                <w:kern w:val="0"/>
                <w:szCs w:val="21"/>
                <w:highlight w:val="none"/>
                <w:lang w:bidi="ar"/>
              </w:rPr>
              <w:t>风险</w:t>
            </w:r>
            <w:r>
              <w:rPr>
                <w:rFonts w:hint="eastAsia" w:ascii="宋体" w:hAnsi="宋体" w:cs="宋体"/>
                <w:color w:val="auto"/>
                <w:kern w:val="0"/>
                <w:szCs w:val="21"/>
                <w:highlight w:val="none"/>
                <w:lang w:eastAsia="zh-CN" w:bidi="ar"/>
              </w:rPr>
              <w:t>及</w:t>
            </w:r>
            <w:r>
              <w:rPr>
                <w:rFonts w:hint="eastAsia" w:ascii="宋体" w:hAnsi="宋体" w:cs="宋体"/>
                <w:color w:val="auto"/>
                <w:kern w:val="0"/>
                <w:szCs w:val="21"/>
                <w:highlight w:val="none"/>
                <w:lang w:bidi="ar"/>
              </w:rPr>
              <w:t>防范措施。2、刑事自诉的法律风险</w:t>
            </w:r>
            <w:r>
              <w:rPr>
                <w:rFonts w:hint="eastAsia" w:ascii="宋体" w:hAnsi="宋体" w:cs="宋体"/>
                <w:color w:val="auto"/>
                <w:kern w:val="0"/>
                <w:szCs w:val="21"/>
                <w:highlight w:val="none"/>
                <w:lang w:eastAsia="zh-CN" w:bidi="ar"/>
              </w:rPr>
              <w:t>及</w:t>
            </w:r>
            <w:r>
              <w:rPr>
                <w:rFonts w:hint="eastAsia" w:ascii="宋体" w:hAnsi="宋体" w:cs="宋体"/>
                <w:color w:val="auto"/>
                <w:kern w:val="0"/>
                <w:szCs w:val="21"/>
                <w:highlight w:val="none"/>
                <w:lang w:bidi="ar"/>
              </w:rPr>
              <w:t>防范措施。</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民事诉讼的法律风险</w:t>
            </w:r>
            <w:r>
              <w:rPr>
                <w:rFonts w:hint="eastAsia" w:ascii="宋体" w:hAnsi="宋体" w:cs="宋体"/>
                <w:color w:val="auto"/>
                <w:kern w:val="0"/>
                <w:szCs w:val="21"/>
                <w:highlight w:val="none"/>
                <w:lang w:eastAsia="zh-CN" w:bidi="ar"/>
              </w:rPr>
              <w:t>及</w:t>
            </w:r>
            <w:r>
              <w:rPr>
                <w:rFonts w:hint="eastAsia" w:ascii="宋体" w:hAnsi="宋体" w:cs="宋体"/>
                <w:color w:val="auto"/>
                <w:kern w:val="0"/>
                <w:szCs w:val="21"/>
                <w:highlight w:val="none"/>
                <w:lang w:bidi="ar"/>
              </w:rPr>
              <w:t>防范措施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对方案的描述完整性、可行性，横向对比</w:t>
            </w:r>
            <w:r>
              <w:rPr>
                <w:rFonts w:hint="eastAsia" w:ascii="宋体" w:hAnsi="宋体" w:cs="宋体"/>
                <w:color w:val="auto"/>
                <w:kern w:val="0"/>
                <w:szCs w:val="21"/>
                <w:highlight w:val="none"/>
                <w:lang w:bidi="ar"/>
              </w:rPr>
              <w:t>：第一名得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分，第二名得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r>
              <w:rPr>
                <w:rFonts w:hint="eastAsia" w:ascii="宋体" w:hAnsi="宋体" w:cs="宋体"/>
                <w:color w:val="auto"/>
                <w:kern w:val="0"/>
                <w:szCs w:val="21"/>
                <w:highlight w:val="none"/>
                <w:lang w:eastAsia="zh-CN" w:bidi="ar"/>
              </w:rPr>
              <w:t>第三名得</w:t>
            </w:r>
            <w:r>
              <w:rPr>
                <w:rFonts w:hint="eastAsia" w:ascii="宋体" w:hAnsi="宋体" w:cs="宋体"/>
                <w:color w:val="auto"/>
                <w:kern w:val="0"/>
                <w:szCs w:val="21"/>
                <w:highlight w:val="none"/>
                <w:lang w:val="en-US" w:eastAsia="zh-CN" w:bidi="ar"/>
              </w:rPr>
              <w:t>1分，</w:t>
            </w:r>
            <w:r>
              <w:rPr>
                <w:rFonts w:hint="eastAsia" w:ascii="宋体" w:hAnsi="宋体" w:cs="宋体"/>
                <w:color w:val="auto"/>
                <w:kern w:val="0"/>
                <w:szCs w:val="21"/>
                <w:highlight w:val="none"/>
                <w:lang w:bidi="ar"/>
              </w:rPr>
              <w:t>直至不得分。</w:t>
            </w:r>
          </w:p>
        </w:tc>
      </w:tr>
      <w:tr>
        <w:tblPrEx>
          <w:tblCellMar>
            <w:top w:w="0" w:type="dxa"/>
            <w:left w:w="108" w:type="dxa"/>
            <w:bottom w:w="0" w:type="dxa"/>
            <w:right w:w="108" w:type="dxa"/>
          </w:tblCellMar>
        </w:tblPrEx>
        <w:trPr>
          <w:trHeight w:val="90"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⑦文件资料的审核、校对及移交（占</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满分</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分，内容缺失扣</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分，每有一项存在内容缺陷的扣</w:t>
            </w:r>
            <w:r>
              <w:rPr>
                <w:rFonts w:hint="eastAsia" w:ascii="宋体" w:hAnsi="宋体" w:cs="宋体"/>
                <w:color w:val="auto"/>
                <w:kern w:val="0"/>
                <w:szCs w:val="21"/>
                <w:highlight w:val="none"/>
                <w:lang w:val="en-US" w:eastAsia="zh-CN" w:bidi="ar"/>
              </w:rPr>
              <w:t>0.5</w:t>
            </w:r>
            <w:r>
              <w:rPr>
                <w:rFonts w:hint="eastAsia" w:ascii="宋体" w:hAnsi="宋体" w:cs="宋体"/>
                <w:color w:val="auto"/>
                <w:kern w:val="0"/>
                <w:szCs w:val="21"/>
                <w:highlight w:val="none"/>
                <w:lang w:bidi="ar"/>
              </w:rPr>
              <w:t>分，扣完为止。（</w:t>
            </w:r>
            <w:r>
              <w:rPr>
                <w:rFonts w:hint="eastAsia" w:ascii="宋体" w:hAnsi="宋体" w:cs="宋体"/>
                <w:color w:val="auto"/>
                <w:kern w:val="0"/>
                <w:szCs w:val="21"/>
                <w:highlight w:val="none"/>
                <w:lang w:eastAsia="zh-CN" w:bidi="ar"/>
              </w:rPr>
              <w:t>包含案卷资料的全部归档后移交等服务内容</w:t>
            </w:r>
            <w:r>
              <w:rPr>
                <w:rFonts w:hint="eastAsia" w:ascii="宋体" w:hAnsi="宋体" w:cs="宋体"/>
                <w:color w:val="auto"/>
                <w:kern w:val="0"/>
                <w:szCs w:val="21"/>
                <w:highlight w:val="none"/>
                <w:lang w:bidi="ar"/>
              </w:rPr>
              <w:t>）。</w:t>
            </w:r>
          </w:p>
        </w:tc>
      </w:tr>
      <w:tr>
        <w:tblPrEx>
          <w:tblCellMar>
            <w:top w:w="0" w:type="dxa"/>
            <w:left w:w="108" w:type="dxa"/>
            <w:bottom w:w="0" w:type="dxa"/>
            <w:right w:w="108" w:type="dxa"/>
          </w:tblCellMar>
        </w:tblPrEx>
        <w:trPr>
          <w:trHeight w:val="90" w:hRule="atLeast"/>
        </w:trPr>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vMerge w:val="continue"/>
            <w:tcBorders>
              <w:top w:val="nil"/>
              <w:left w:val="nil"/>
              <w:bottom w:val="single" w:color="000000" w:sz="8" w:space="0"/>
              <w:right w:val="single" w:color="000000" w:sz="8" w:space="0"/>
            </w:tcBorders>
            <w:shd w:val="clear" w:color="auto" w:fill="auto"/>
            <w:vAlign w:val="center"/>
          </w:tcPr>
          <w:p>
            <w:pPr>
              <w:jc w:val="center"/>
              <w:rPr>
                <w:rFonts w:ascii="宋体" w:hAnsi="宋体" w:cs="宋体"/>
                <w:color w:val="auto"/>
                <w:szCs w:val="21"/>
                <w:highlight w:val="none"/>
              </w:rPr>
            </w:pPr>
          </w:p>
        </w:tc>
        <w:tc>
          <w:tcPr>
            <w:tcW w:w="1485" w:type="dxa"/>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微软雅黑" w:hAnsi="微软雅黑" w:eastAsia="微软雅黑" w:cs="微软雅黑"/>
                <w:color w:val="auto"/>
                <w:kern w:val="0"/>
                <w:szCs w:val="21"/>
                <w:highlight w:val="none"/>
                <w:lang w:bidi="ar"/>
              </w:rPr>
              <w:t>⑧</w:t>
            </w:r>
            <w:r>
              <w:rPr>
                <w:rFonts w:hint="eastAsia" w:ascii="宋体" w:hAnsi="宋体" w:cs="宋体"/>
                <w:color w:val="auto"/>
                <w:kern w:val="0"/>
                <w:szCs w:val="21"/>
                <w:highlight w:val="none"/>
                <w:lang w:bidi="ar"/>
              </w:rPr>
              <w:t>后续服务方案（占</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w:t>
            </w:r>
          </w:p>
        </w:tc>
        <w:tc>
          <w:tcPr>
            <w:tcW w:w="2970" w:type="dxa"/>
            <w:gridSpan w:val="2"/>
            <w:tcBorders>
              <w:top w:val="nil"/>
              <w:left w:val="nil"/>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满分</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分，内容缺失扣</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分，每有一项存在内容缺陷的扣</w:t>
            </w:r>
            <w:r>
              <w:rPr>
                <w:rFonts w:hint="eastAsia" w:ascii="宋体" w:hAnsi="宋体" w:cs="宋体"/>
                <w:color w:val="auto"/>
                <w:kern w:val="0"/>
                <w:szCs w:val="21"/>
                <w:highlight w:val="none"/>
                <w:lang w:val="en-US" w:eastAsia="zh-CN" w:bidi="ar"/>
              </w:rPr>
              <w:t>0.5</w:t>
            </w:r>
            <w:r>
              <w:rPr>
                <w:rFonts w:hint="eastAsia" w:ascii="宋体" w:hAnsi="宋体" w:cs="宋体"/>
                <w:color w:val="auto"/>
                <w:kern w:val="0"/>
                <w:szCs w:val="21"/>
                <w:highlight w:val="none"/>
                <w:lang w:bidi="ar"/>
              </w:rPr>
              <w:t>分，扣完为止。（</w:t>
            </w:r>
            <w:r>
              <w:rPr>
                <w:rFonts w:hint="eastAsia" w:ascii="宋体" w:hAnsi="宋体" w:cs="宋体"/>
                <w:color w:val="auto"/>
                <w:kern w:val="0"/>
                <w:szCs w:val="21"/>
                <w:highlight w:val="none"/>
                <w:lang w:eastAsia="zh-CN" w:bidi="ar"/>
              </w:rPr>
              <w:t>如</w:t>
            </w:r>
            <w:r>
              <w:rPr>
                <w:rFonts w:hint="eastAsia" w:ascii="宋体" w:hAnsi="宋体" w:cs="宋体"/>
                <w:color w:val="auto"/>
                <w:kern w:val="0"/>
                <w:szCs w:val="21"/>
                <w:highlight w:val="none"/>
                <w:lang w:val="en-US" w:eastAsia="zh-CN" w:bidi="ar"/>
              </w:rPr>
              <w:t>包含</w:t>
            </w:r>
            <w:r>
              <w:rPr>
                <w:rFonts w:hint="eastAsia" w:ascii="宋体" w:hAnsi="宋体" w:cs="宋体"/>
                <w:color w:val="auto"/>
                <w:kern w:val="0"/>
                <w:szCs w:val="21"/>
                <w:highlight w:val="none"/>
                <w:lang w:bidi="ar"/>
              </w:rPr>
              <w:t>关于不低于两次刑事合规性培训的相关内容）。</w:t>
            </w:r>
          </w:p>
        </w:tc>
      </w:tr>
    </w:tbl>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注：评分的取值按四舍五入法，保留小数点后两位。</w:t>
      </w:r>
    </w:p>
    <w:p>
      <w:pPr>
        <w:tabs>
          <w:tab w:val="left" w:pos="851"/>
        </w:tabs>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4.比选小组纪律及注意事项</w:t>
      </w:r>
    </w:p>
    <w:p>
      <w:pPr>
        <w:tabs>
          <w:tab w:val="left" w:pos="851"/>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4.1比选小组内部讨论的情况和意见必须保密，任何人不得以任何形式透露给参选单位或与参选单位有关的单位或个人。</w:t>
      </w:r>
    </w:p>
    <w:p>
      <w:pPr>
        <w:tabs>
          <w:tab w:val="left" w:pos="851"/>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4.2在比选过程中，参选单位不得以任何形式对比选小组成员进行旨在影响比选结果的私下接触，否则将取消其参与比选的资格。</w:t>
      </w:r>
    </w:p>
    <w:p>
      <w:pPr>
        <w:tabs>
          <w:tab w:val="left" w:pos="851"/>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4.3对各参选单位的商业秘密，比选小组成员应予以保密，不得泄露给其他参选单位。</w:t>
      </w:r>
    </w:p>
    <w:p>
      <w:pPr>
        <w:tabs>
          <w:tab w:val="left" w:pos="851"/>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 比选小组独立评判，推荐中选候选人，并写出书面报告。</w:t>
      </w:r>
    </w:p>
    <w:p>
      <w:pPr>
        <w:tabs>
          <w:tab w:val="left" w:pos="851"/>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 比选小组可根据需要对参选单位进行实地考察。</w:t>
      </w:r>
    </w:p>
    <w:p>
      <w:pPr>
        <w:tabs>
          <w:tab w:val="left" w:pos="7665"/>
        </w:tabs>
        <w:spacing w:line="400" w:lineRule="exact"/>
        <w:ind w:firstLine="482" w:firstLineChars="200"/>
        <w:rPr>
          <w:rFonts w:ascii="宋体" w:hAnsi="宋体" w:cs="宋体"/>
          <w:b/>
          <w:bCs/>
          <w:color w:val="auto"/>
          <w:sz w:val="24"/>
          <w:highlight w:val="none"/>
        </w:rPr>
      </w:pPr>
    </w:p>
    <w:p>
      <w:pPr>
        <w:tabs>
          <w:tab w:val="left" w:pos="7665"/>
        </w:tabs>
        <w:spacing w:line="40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5.</w:t>
      </w:r>
      <w:r>
        <w:rPr>
          <w:rFonts w:hint="eastAsia" w:ascii="宋体" w:hAnsi="宋体" w:cs="宋体"/>
          <w:b/>
          <w:color w:val="auto"/>
          <w:sz w:val="24"/>
          <w:highlight w:val="none"/>
        </w:rPr>
        <w:t>比选小组在比选活动中承担以下义务：</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5.1遵守评审工作纪律；</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5.2按照客观、公正、审慎的原则，根据比选文件规定的评审程序、评审方法和评审标准进行独立评审；</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5.3不得泄露评审文件、评审情况和在评审过程中获悉的商业秘密；</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5.4及时向监管部门报告评审过程中发现的比选人、比选代理机构向评审专家做倾向性、误导性的解释或者说明，以及参选单位行贿、提供虚假材料或者串通等违法行为；</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5.5发现比选文件内容违反国家有关强制性规定或者比选文件存在歧义、重大缺陷导致评审工作无法进行时，停止评审并向比选人或者比选代理机构书面说明情况；</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5.6及时向监察部门举报在评审过程中受到非法干预的情况；</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5.7配合答复处理参选单位的询问、质疑和投诉等事项；</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5.8法律、法规和规章规定的其他义务。</w:t>
      </w:r>
    </w:p>
    <w:p>
      <w:pPr>
        <w:tabs>
          <w:tab w:val="left" w:pos="7665"/>
        </w:tabs>
        <w:spacing w:line="400" w:lineRule="exact"/>
        <w:rPr>
          <w:rFonts w:ascii="宋体" w:hAnsi="宋体" w:cs="宋体"/>
          <w:color w:val="auto"/>
          <w:sz w:val="24"/>
          <w:highlight w:val="none"/>
        </w:rPr>
      </w:pPr>
    </w:p>
    <w:p>
      <w:pPr>
        <w:tabs>
          <w:tab w:val="left" w:pos="7665"/>
        </w:tabs>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6.定标</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6.1. 定标原则：本项目根据比选小组推荐的中选候选人名单，按顺序确定中选人。</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 定标程序</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6.2.1 比选小组将评标情况写出书面报告，推荐中选候选人，并按照综合得分高低标明排列顺序。综合得分相同的，按报价由低到高顺序排列。得分且报价相同的，按技术指标优劣顺序排列。</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6.2.2 代理机构在评标结束后二个工作日内将评标报告送比选人。</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6.2.3 比选人在收到评标报告后五个工作日内，按照评标报告中推荐的中选候选人顺序确定中选人。</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注意，比选人按照推荐的中选候选人顺序确定中选人，不能认为比选人只能确定第一中选候选人为中选人，比选人有正当理由的，可以确定后一顺序中选候选人为中选人，依次类推。</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6.2.4 根据比选人确定的中选人，采购代理机构在四川招标采购交易服务平台和成都益民投资集团有限公司官网上发布中选公告，同时向中选人发出中选通知书。</w:t>
      </w:r>
    </w:p>
    <w:p>
      <w:pPr>
        <w:tabs>
          <w:tab w:val="left" w:pos="7665"/>
        </w:tabs>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6.2.5 采购单位不解释中选或落选原因，不退回比选申请文件。</w:t>
      </w:r>
    </w:p>
    <w:p>
      <w:pPr>
        <w:tabs>
          <w:tab w:val="left" w:pos="7665"/>
        </w:tabs>
        <w:spacing w:line="400" w:lineRule="exact"/>
        <w:ind w:firstLine="482" w:firstLineChars="200"/>
        <w:rPr>
          <w:rFonts w:ascii="宋体" w:hAnsi="宋体" w:cs="宋体"/>
          <w:b/>
          <w:color w:val="auto"/>
          <w:sz w:val="24"/>
          <w:highlight w:val="none"/>
        </w:rPr>
      </w:pPr>
    </w:p>
    <w:p>
      <w:pPr>
        <w:tabs>
          <w:tab w:val="left" w:pos="7665"/>
        </w:tabs>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7.评审专家在比选活动中应当遵守以下工作纪律：</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7.1不得参加与自己有利害关系的评标活动。发现参加了与自己有利害关系的评审活动，须主动提出回避，退出评审；</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7.2评审前，应当将通讯工具或者相关电子设备交由比选代理机构统一保管；</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7.3评审过程中，不得与外界联系，因发生不可预见情况，确实需要与外界联系的，应当在监督人员监督之下办理；</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评审过程中，不得发表影响评审公正的倾向性、歧视性言论，不得征询或者接受比选人的倾向性意见，不得明示或暗示参选单位在澄清时表达与其比选申请文件原义不同的意见，不得以比选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7.5在评审过程中和评审结束后，不得记录、复制或带走任何评审资料，不得向外界透露评审内容；</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7.6评审现场服从比选代理机构工作人员的管理，接受现场监督人员的合法监督；</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7.7遵守有关廉洁自律规定，不得私下接触参选单位，不得收受参选单位及有关业务单位和个人的财物或好处，不得接受比选代理机构的请托。</w:t>
      </w:r>
    </w:p>
    <w:p>
      <w:pPr>
        <w:tabs>
          <w:tab w:val="left" w:pos="7665"/>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pPr>
        <w:pStyle w:val="3"/>
        <w:jc w:val="center"/>
        <w:rPr>
          <w:rFonts w:ascii="宋体" w:hAnsi="宋体" w:cs="宋体"/>
          <w:color w:val="auto"/>
          <w:highlight w:val="none"/>
        </w:rPr>
      </w:pPr>
      <w:bookmarkStart w:id="86" w:name="_Toc517640381"/>
      <w:bookmarkStart w:id="87" w:name="_Toc26032"/>
      <w:r>
        <w:rPr>
          <w:rFonts w:hint="eastAsia" w:ascii="宋体" w:hAnsi="宋体" w:cs="宋体"/>
          <w:color w:val="auto"/>
          <w:highlight w:val="none"/>
        </w:rPr>
        <w:t>第七章  合同条款及格式</w:t>
      </w:r>
      <w:bookmarkEnd w:id="86"/>
      <w:bookmarkEnd w:id="87"/>
    </w:p>
    <w:p>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专项法律服务合同</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委托人（以下简称甲方）：成都成粮蓉泰供应链管理有限公司</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统一社会信用代码：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联系地址：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受托人（以下简称乙方）：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统一社会信用代码：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联系地址：</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乌兰浩特金秋粮油进出口有限公司（以下简称金秋公司）在履行与甲方签订的《粮食代收代储合同》涉嫌刑事犯罪，甲方决定委托乙方提供包括刑事控告、刑事自诉（附带民事诉讼）和民事诉讼在内的专项法律服务，双方本着平等协商的原则，就委托事项达成如下协议条款，保证共同遵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乙方接受甲方的委托，根据甲方意见及委托事项具体情况，乙方安排本所【】律师为甲方本合同项下法律事务提供如下专项法律服务：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1.协助甲方拟定刑事控告方案和文书，并代理甲方向公安机关针对金秋公司提起刑事控告；</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.在公安机关不予受理刑事控告的情况下，协助甲方拟定刑事自诉（附带民事诉讼）方案和文书，并代理甲方向人民法院针对金秋公司提起刑事自诉（附带民事诉讼）；</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在刑事控告或刑事自诉程序中，金秋公司未被追究刑事责任的情况下，代理甲方提起民事诉讼，追究金秋公司违约责任；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4.在刑事控告、刑事自诉和民事诉讼各阶段，为甲方提供法律咨询、拟定相关法律文书、定期分析和汇报案件进展、参与甲方内部会议、或协助甲方参与第三方就本次专项法律服务内容召开的会议；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5.为甲方提供其他与本次专项法律服务内容相关的法律事务。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应全面、如实地向乙方律师提供有关文件资料或作出陈述。甲方向乙方提出的有关法律材料如是复印件，应由甲方指定的签字人在法律材料上签名确认。甲方如有捏造事实、弄虚作假等违法情况，乙方有权终止代理，所收费用不予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乙方律师所提供意见均基于所获得的材料基础上作出，如因材料本身缺漏虚假等问题造成的错误，与乙方无关。</w:t>
      </w:r>
    </w:p>
    <w:p>
      <w:pPr>
        <w:numPr>
          <w:ilvl w:val="0"/>
          <w:numId w:val="2"/>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甲方应为乙方提供法律事务服务提供便利，配合乙方完成上述甲方委托的事务。</w:t>
      </w:r>
    </w:p>
    <w:p>
      <w:pPr>
        <w:numPr>
          <w:ilvl w:val="0"/>
          <w:numId w:val="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乙方律师应认真勤勉地为甲方提供本协议第一条约定的专项法律服务事项，尽力维护甲方合法权益。受托律师因故不能履行职责时，</w:t>
      </w:r>
      <w:r>
        <w:rPr>
          <w:rFonts w:hint="eastAsia" w:ascii="宋体" w:hAnsi="宋体" w:cs="宋体"/>
          <w:color w:val="auto"/>
          <w:sz w:val="24"/>
          <w:highlight w:val="none"/>
          <w:lang w:eastAsia="zh-CN"/>
        </w:rPr>
        <w:t>征得甲方书面同意后，</w:t>
      </w:r>
      <w:r>
        <w:rPr>
          <w:rFonts w:hint="eastAsia" w:ascii="宋体" w:hAnsi="宋体" w:cs="宋体"/>
          <w:color w:val="auto"/>
          <w:sz w:val="24"/>
          <w:highlight w:val="none"/>
        </w:rPr>
        <w:t>乙方可以为甲方另行指派律师提供本合同约定的专项法律服务，履行合同义务。乙方所有意见发表，均是建立在甲方告知的信息基础上的。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本协议履行过程中，乙方及乙方律师应严格保守本协议履行过程中所知悉的甲方的商业秘密。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在无法定或合同约定的解除合同情形下,任何一方不得擅自解除合同. 如乙方未经甲方同意擅自解除合同，所收费用应在甲方要求退费后三日内全部退还甲方。如甲方未经乙方同意擅自解除合同（包括未与乙方协商一致解除对乙方律师的授权委托，以及未与乙方协商一致另行聘请代理人等），所缴费用乙方不予退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根据《四川省发展和改革委员会 四川省司法厅关于规范律师法律服务收费管理有关问题的通知（川发改价格〔2018〕93号）》和《司法部 国家发展和改革委员会 国家市场监督管理总局关于进一步规范律师服务收费的意见》，结合本专项法律事务难易复杂程度和律师工作量，双方经充分协商，甲方按照下列方式的支付专项法律服务费用：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1.基础法律服务费【】元（大写【】元），由甲方于签订法律服务合同后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日内支付40%，待乙方协助甲方向公安机关提交刑事控告材料后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日内支付60%。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2.刑事控告全过程法律服务费【】元（大写【】元），由甲方于公安机关刑事立案后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日内支付给乙方，若公安机关未予刑事立案，则乙方无需提供刑事控告</w:t>
      </w:r>
      <w:r>
        <w:rPr>
          <w:rFonts w:hint="eastAsia" w:ascii="宋体" w:hAnsi="宋体" w:cs="宋体"/>
          <w:color w:val="auto"/>
          <w:sz w:val="24"/>
          <w:highlight w:val="none"/>
          <w:lang w:eastAsia="zh-CN"/>
        </w:rPr>
        <w:t>全过程</w:t>
      </w:r>
      <w:r>
        <w:rPr>
          <w:rFonts w:hint="eastAsia" w:ascii="宋体" w:hAnsi="宋体" w:cs="宋体"/>
          <w:color w:val="auto"/>
          <w:sz w:val="24"/>
          <w:highlight w:val="none"/>
        </w:rPr>
        <w:t>法律服务，甲方亦无需支付</w:t>
      </w:r>
      <w:r>
        <w:rPr>
          <w:rFonts w:hint="eastAsia" w:ascii="宋体" w:hAnsi="宋体" w:cs="宋体"/>
          <w:color w:val="auto"/>
          <w:sz w:val="24"/>
          <w:highlight w:val="none"/>
          <w:lang w:eastAsia="zh-CN"/>
        </w:rPr>
        <w:t>全过程</w:t>
      </w:r>
      <w:r>
        <w:rPr>
          <w:rFonts w:hint="eastAsia" w:ascii="宋体" w:hAnsi="宋体" w:cs="宋体"/>
          <w:color w:val="auto"/>
          <w:sz w:val="24"/>
          <w:highlight w:val="none"/>
        </w:rPr>
        <w:t>法律服务费。</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若乙方人代理甲方提起刑事自诉（附带民事诉讼）的，由甲方向乙方支付刑事自诉阶段法律服务费【】元（大写【】元），其中，一审阶段【】元，由甲方于人民法院立案之日起</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日内支付给乙方；二审阶段（若有）【】元，由甲方于法院受理二审案件后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日内支付给乙方；附带民事诉讼执行阶段支付【】元，由甲方于人民法院受理执行案件后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日内支付给乙方。</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若乙方代理甲方提起民事诉讼，追究金秋公司违约责任的，由甲方向乙方支付民事诉讼阶段法律服务费【】元，其中一审阶段【】元，由甲方于人民法院立案之日起</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日内支付给乙方；二审阶段【】元，由甲方于法院受理二审案件后</w:t>
      </w:r>
      <w:r>
        <w:rPr>
          <w:rFonts w:hint="eastAsia" w:ascii="宋体" w:hAnsi="宋体" w:cs="宋体"/>
          <w:color w:val="auto"/>
          <w:sz w:val="24"/>
          <w:highlight w:val="none"/>
          <w:lang w:val="en-US" w:eastAsia="zh-CN"/>
        </w:rPr>
        <w:t>150个工作</w:t>
      </w:r>
      <w:r>
        <w:rPr>
          <w:rFonts w:hint="eastAsia" w:ascii="宋体" w:hAnsi="宋体" w:cs="宋体"/>
          <w:color w:val="auto"/>
          <w:sz w:val="24"/>
          <w:highlight w:val="none"/>
        </w:rPr>
        <w:t>日内支付给乙方；执行阶段【】元，由甲方按照实际回款金额与申请执行金额的比例支付执行阶段法律服务费。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若本合同项下专项法律事务涉及再审，由乙方为甲方提供再审阶段诉讼代理服务，甲方无需支付其他费用。</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服务费支付方式：按约定节点支付，在达到付款条件且收到乙方提供对应金额的发票后</w:t>
      </w:r>
      <w:r>
        <w:rPr>
          <w:rFonts w:hint="eastAsia" w:ascii="宋体" w:hAnsi="宋体" w:cs="宋体"/>
          <w:color w:val="auto"/>
          <w:sz w:val="24"/>
          <w:highlight w:val="none"/>
          <w:lang w:val="en-US" w:eastAsia="zh-CN"/>
        </w:rPr>
        <w:t>15个工作</w:t>
      </w:r>
      <w:r>
        <w:rPr>
          <w:rFonts w:hint="eastAsia" w:ascii="宋体" w:hAnsi="宋体" w:cs="宋体"/>
          <w:color w:val="auto"/>
          <w:sz w:val="24"/>
          <w:highlight w:val="none"/>
        </w:rPr>
        <w:t>日内支付。</w:t>
      </w:r>
      <w:r>
        <w:rPr>
          <w:rFonts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w:t>
      </w:r>
      <w:r>
        <w:rPr>
          <w:rFonts w:hint="eastAsia" w:ascii="宋体" w:hAnsi="宋体" w:cs="宋体"/>
          <w:color w:val="auto"/>
          <w:sz w:val="24"/>
          <w:highlight w:val="none"/>
        </w:rPr>
        <w:t>乙方收款账户：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户    名：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乙方应按如下开票信息向甲方开具 □增值税专用发票 □增值税普通发票：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纳税人识别号：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址、电 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开户行及账号：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甲方的权利和义务</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甲方有权要求乙方承办律师及时通报服务或案情进展情况，对乙方提供的法律服务有权提出意见或建议。</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甲方有权拒绝乙方及承办律师提出的本合同约定之外的报酬、报销、补贴、津贴或者馈赠要求。</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甲方应当真实、详尽和及时地向乙方叙述案情，提供与委托代理事项有关的证据、文件及其他事实材料；并积极、主动地配合乙方律师的工作，甲方对乙方律师提出的要求应当明确合理。</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甲方应当按时、足额向乙方支付律师代理费和本合同约定的工作费用。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国家法律、法规所规定由甲方承担的其它责任。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w:t>
      </w:r>
      <w:r>
        <w:rPr>
          <w:rFonts w:ascii="宋体" w:hAnsi="宋体" w:cs="宋体"/>
          <w:color w:val="auto"/>
          <w:sz w:val="24"/>
          <w:highlight w:val="none"/>
        </w:rPr>
        <w:t xml:space="preserve">  </w:t>
      </w:r>
      <w:r>
        <w:rPr>
          <w:rFonts w:hint="eastAsia" w:ascii="宋体" w:hAnsi="宋体" w:cs="宋体"/>
          <w:color w:val="auto"/>
          <w:sz w:val="24"/>
          <w:highlight w:val="none"/>
        </w:rPr>
        <w:t>乙方的权利和义务</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乙方指派人员应当以事实为依据，以法律为准绳，认真负责地维护甲方的合法权益，并按甲方要求及时、准确、完整地通报案件进展情况，遇到重大决定或明确超越代理权限的事项，必须经过甲方的书面确认。</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乙方律师应当以其依据法律做出的判断，向甲方进行法律风险提示，尽最大努力维护甲方利益。</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乙方律师对其获知的甲方的商业机密或者甲方的个人隐私负有保密责任，非由法律规定或甲方同意，不得向任何第三方披露。</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乙方律师不得违反《律师执业规范》，在涉及甲方的对抗性案件中，未经甲方同意，不得同时担任与甲方具有法律上直接利益冲突的另一方的委托代理人。</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如乙方在代理过程中因重大过失或者故意给甲方造成损失的，乙方应当按照本合同约定及《合伙企业法》第57条、《律师法》第15条、《律师事务所管理办法》第53条等规定向甲方承担赔偿责任；乙方在代理过程中非因甲方明确指示的代理行为或非代理行为，给第三方造成损失的，由乙方承担赔偿责任，若甲方向第三方承担后，有权向乙方追偿。</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乙方定期向甲方书面汇报案件进展，乙方需应甲方需求，</w:t>
      </w:r>
      <w:r>
        <w:rPr>
          <w:rFonts w:hint="eastAsia" w:ascii="宋体" w:hAnsi="宋体" w:cs="宋体"/>
          <w:color w:val="auto"/>
          <w:sz w:val="24"/>
          <w:highlight w:val="none"/>
          <w:lang w:eastAsia="zh-CN"/>
        </w:rPr>
        <w:t>乙方主办律师或协办律师</w:t>
      </w:r>
      <w:r>
        <w:rPr>
          <w:rFonts w:hint="eastAsia" w:ascii="宋体" w:hAnsi="宋体" w:cs="宋体"/>
          <w:color w:val="auto"/>
          <w:sz w:val="24"/>
          <w:highlight w:val="none"/>
        </w:rPr>
        <w:t>完成</w:t>
      </w:r>
      <w:r>
        <w:rPr>
          <w:rFonts w:hint="eastAsia" w:ascii="宋体" w:hAnsi="宋体" w:cs="宋体"/>
          <w:color w:val="auto"/>
          <w:sz w:val="24"/>
          <w:highlight w:val="none"/>
          <w:lang w:eastAsia="zh-CN"/>
        </w:rPr>
        <w:t>重要事项</w:t>
      </w:r>
      <w:r>
        <w:rPr>
          <w:rFonts w:hint="eastAsia" w:ascii="宋体" w:hAnsi="宋体" w:cs="宋体"/>
          <w:color w:val="auto"/>
          <w:sz w:val="24"/>
          <w:highlight w:val="none"/>
        </w:rPr>
        <w:t>当面对接洽谈。案件结束后乙方应将本次案卷归档整理后完整移交给甲方。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w:t>
      </w:r>
      <w:r>
        <w:rPr>
          <w:rFonts w:hint="eastAsia" w:ascii="宋体" w:hAnsi="宋体" w:cs="宋体"/>
          <w:color w:val="auto"/>
          <w:sz w:val="24"/>
          <w:highlight w:val="none"/>
        </w:rPr>
        <w:tab/>
      </w:r>
      <w:r>
        <w:rPr>
          <w:rFonts w:ascii="宋体" w:hAnsi="宋体" w:cs="宋体"/>
          <w:color w:val="auto"/>
          <w:sz w:val="24"/>
          <w:highlight w:val="none"/>
        </w:rPr>
        <w:t xml:space="preserve"> </w:t>
      </w:r>
      <w:r>
        <w:rPr>
          <w:rFonts w:hint="eastAsia" w:ascii="宋体" w:hAnsi="宋体" w:cs="宋体"/>
          <w:color w:val="auto"/>
          <w:sz w:val="24"/>
          <w:highlight w:val="none"/>
        </w:rPr>
        <w:t>违约责任</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本合同履行中，因乙方律师过错或乙方有违反本合同相关义务，乙方在代理甲方案件期间违规代理对方当事人、与对方当事人串通、私下联系等可能损害甲方权益行为的，甲方有权随时解除合同。甲方解除本合同终止委托关系的，乙方应当退还预收的全部律师服务费。由此造成甲方经济损失的，乙方应当给予甲方赔偿。</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如乙方未经甲方同意终止履行合同，所收费用应在乙方明确终止履行合同后三日内全部退还甲方。除本合同另有约定外如甲方未经乙方同意终止合同，所缴费用乙方不予退还。</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甲方应当如实陈述案情，并保证其提供的证据材料的真实性和合法性，否则由此产生的法律后果由甲方承担。乙方有权终止代理，所收费用不予退还；</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当且仅当付款条件成就时，甲方有义务向乙方支付法律服务费，否则，甲方有权拒绝支付相应费用且无需承担任何违约责任。</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双方协商解除本合同或者为避免客户利益冲突等而根据行业管理规定需解除本合同的，乙方应按已办理该项法律事务的工作时间、复杂程度、律师人数等实际情况，酌情退费。</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除不可抗力外，任一方违约按照本合同标的金额的10%承担违约责任。若不足以赔偿对方损失的，应对继续承担赔偿责任。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第十一条</w:t>
      </w:r>
      <w:r>
        <w:rPr>
          <w:rFonts w:hint="eastAsia" w:ascii="宋体" w:hAnsi="宋体" w:cs="宋体"/>
          <w:color w:val="auto"/>
          <w:sz w:val="24"/>
          <w:highlight w:val="none"/>
        </w:rPr>
        <w:tab/>
      </w:r>
      <w:r>
        <w:rPr>
          <w:rFonts w:hint="eastAsia" w:ascii="宋体" w:hAnsi="宋体" w:cs="宋体"/>
          <w:color w:val="auto"/>
          <w:sz w:val="24"/>
          <w:highlight w:val="none"/>
        </w:rPr>
        <w:t>不可抗力事件处理</w:t>
      </w:r>
    </w:p>
    <w:p>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在合同有效期内，任何一方因不可抗力事件导致不能履行合同，则合同履行期可延长，其延长期与不可抗力影响期相同。</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不可抗力事件发生后，应立即通知对方，并寄送有关权威机构出具的证明。</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 本合同壹式两份，甲方一份，乙方一份，自双方签字（或盖章）后生效。</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pStyle w:val="2"/>
        <w:rPr>
          <w:rFonts w:hint="eastAsia"/>
          <w:color w:val="auto"/>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——以下无正文——</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甲方（盖章）：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授权代表（签名）：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乙方（盖章）： </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授权代表（签名）：</w:t>
      </w:r>
    </w:p>
    <w:p>
      <w:pPr>
        <w:rPr>
          <w:rFonts w:ascii="宋体" w:hAnsi="宋体" w:cs="宋体"/>
          <w:color w:val="auto"/>
          <w:highlight w:val="none"/>
        </w:rPr>
      </w:pPr>
    </w:p>
    <w:sectPr>
      <w:footerReference r:id="rId6" w:type="default"/>
      <w:pgSz w:w="11906" w:h="16838"/>
      <w:pgMar w:top="1440" w:right="1474" w:bottom="1440"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鼎CS仿宋体">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14"/>
                          </w:pPr>
                        </w:p>
                      </w:txbxContent>
                    </wps:txbx>
                    <wps:bodyPr wrap="none" lIns="0" tIns="0" rIns="0" bIns="0" upright="1">
                      <a:spAutoFit/>
                    </wps:bodyPr>
                  </wps:wsp>
                </a:graphicData>
              </a:graphic>
            </wp:anchor>
          </w:drawing>
        </mc:Choice>
        <mc:Fallback>
          <w:pict>
            <v:rect id="410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CHTWkvwEAAJ8DAAAOAAAAAAAAAAEAIAAAAB8BAABkcnMvZTJvRG9jLnhtbFBLBQYA&#10;AAAABgAGAFkBAABQBQAAAAA=&#10;">
              <v:fill on="f" focussize="0,0"/>
              <v:stroke on="f"/>
              <v:imagedata o:title=""/>
              <o:lock v:ext="edit" aspectratio="f"/>
              <v:textbox inset="0mm,0mm,0mm,0mm" style="mso-fit-shape-to-text:t;">
                <w:txbxContent>
                  <w:p>
                    <w:pPr>
                      <w:pStyle w:val="14"/>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685" w:firstLineChars="381"/>
      <w:jc w:val="both"/>
      <w:rPr>
        <w:rFonts w:ascii="宋体" w:hAnsi="宋体" w:cs="宋体"/>
        <w:b/>
        <w:bCs/>
        <w:sz w:val="21"/>
        <w:szCs w:val="21"/>
      </w:rPr>
    </w:pPr>
    <w:r>
      <w:rPr>
        <w:rFonts w:hint="eastAsia" w:eastAsiaTheme="minorEastAsia"/>
      </w:rPr>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340995" cy="338455"/>
          <wp:effectExtent l="0" t="0" r="1905" b="4445"/>
          <wp:wrapSquare wrapText="bothSides"/>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340995" cy="338455"/>
                  </a:xfrm>
                  <a:prstGeom prst="rect">
                    <a:avLst/>
                  </a:prstGeom>
                </pic:spPr>
              </pic:pic>
            </a:graphicData>
          </a:graphic>
        </wp:anchor>
      </w:drawing>
    </w:r>
    <w:r>
      <w:rPr>
        <w:rFonts w:hint="eastAsia" w:ascii="宋体" w:hAnsi="宋体" w:cs="宋体"/>
        <w:b/>
        <w:bCs/>
        <w:sz w:val="21"/>
        <w:szCs w:val="21"/>
      </w:rPr>
      <w:t>四川易通天和招标代理有限公司</w:t>
    </w:r>
  </w:p>
  <w:p>
    <w:pPr>
      <w:pStyle w:val="15"/>
      <w:pBdr>
        <w:bottom w:val="double" w:color="auto" w:sz="8" w:space="1"/>
      </w:pBdr>
      <w:ind w:firstLine="653" w:firstLineChars="500"/>
      <w:jc w:val="both"/>
      <w:rPr>
        <w:rFonts w:ascii="宋体" w:hAnsi="宋体" w:cs="宋体"/>
        <w:b/>
        <w:bCs/>
        <w:szCs w:val="18"/>
      </w:rPr>
    </w:pPr>
    <w:r>
      <w:rPr>
        <w:rFonts w:hint="eastAsia" w:ascii="宋体" w:hAnsi="宋体" w:cs="宋体"/>
        <w:b/>
        <w:bCs/>
        <w:caps/>
        <w:sz w:val="13"/>
        <w:szCs w:val="13"/>
      </w:rPr>
      <w:t>Sichuan Yitongtianhe Tendering Agent Co. Ltd</w:t>
    </w:r>
    <w:r>
      <w:rPr>
        <w:rFonts w:hint="eastAsia" w:ascii="宋体" w:hAnsi="宋体" w:cs="宋体"/>
        <w:b/>
        <w:bCs/>
        <w:sz w:val="13"/>
        <w:szCs w:val="13"/>
      </w:rPr>
      <w:t xml:space="preserve"> </w:t>
    </w:r>
    <w:r>
      <w:rPr>
        <w:rFonts w:hint="eastAsia" w:ascii="宋体" w:hAnsi="宋体" w:cs="宋体"/>
        <w:b/>
        <w:bCs/>
        <w:szCs w:val="18"/>
      </w:rPr>
      <w:t xml:space="preserve">                                   公开·公平·公正·诚信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685" w:firstLineChars="381"/>
      <w:jc w:val="both"/>
      <w:rPr>
        <w:rFonts w:ascii="宋体" w:hAnsi="宋体" w:cs="宋体"/>
        <w:b/>
        <w:bCs/>
        <w:sz w:val="21"/>
        <w:szCs w:val="21"/>
      </w:rPr>
    </w:pPr>
    <w:r>
      <w:rPr>
        <w:rFonts w:hint="eastAsia"/>
      </w:rPr>
      <w:t xml:space="preserve"> </w:t>
    </w:r>
    <w:r>
      <w:rPr>
        <w:rFonts w:ascii="宋体" w:hAnsi="宋体" w:cs="宋体"/>
        <w:sz w:val="22"/>
        <w:szCs w:val="22"/>
      </w:rPr>
      <w:drawing>
        <wp:anchor distT="0" distB="0" distL="114300" distR="114300" simplePos="0" relativeHeight="251660288" behindDoc="0" locked="0" layoutInCell="1" allowOverlap="1">
          <wp:simplePos x="0" y="0"/>
          <wp:positionH relativeFrom="column">
            <wp:posOffset>80010</wp:posOffset>
          </wp:positionH>
          <wp:positionV relativeFrom="paragraph">
            <wp:posOffset>-13970</wp:posOffset>
          </wp:positionV>
          <wp:extent cx="346710" cy="335915"/>
          <wp:effectExtent l="0" t="0" r="15240" b="6985"/>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rcRect l="30696" r="31128" b="42339"/>
                  <a:stretch>
                    <a:fillRect/>
                  </a:stretch>
                </pic:blipFill>
                <pic:spPr>
                  <a:xfrm>
                    <a:off x="0" y="0"/>
                    <a:ext cx="346710" cy="335915"/>
                  </a:xfrm>
                  <a:prstGeom prst="rect">
                    <a:avLst/>
                  </a:prstGeom>
                  <a:noFill/>
                  <a:ln>
                    <a:noFill/>
                  </a:ln>
                </pic:spPr>
              </pic:pic>
            </a:graphicData>
          </a:graphic>
        </wp:anchor>
      </w:drawing>
    </w:r>
    <w:r>
      <w:rPr>
        <w:rFonts w:hint="eastAsia" w:ascii="宋体" w:hAnsi="宋体" w:cs="宋体"/>
        <w:b/>
        <w:bCs/>
        <w:sz w:val="21"/>
        <w:szCs w:val="21"/>
      </w:rPr>
      <w:t>四川易通天和招标代理有限公司</w:t>
    </w:r>
  </w:p>
  <w:p>
    <w:pPr>
      <w:pStyle w:val="15"/>
      <w:pBdr>
        <w:bottom w:val="double" w:color="auto" w:sz="8" w:space="1"/>
      </w:pBdr>
      <w:ind w:firstLine="783" w:firstLineChars="600"/>
      <w:jc w:val="both"/>
    </w:pPr>
    <w:r>
      <w:rPr>
        <w:rFonts w:hint="eastAsia" w:ascii="宋体" w:hAnsi="宋体" w:cs="宋体"/>
        <w:b/>
        <w:bCs/>
        <w:caps/>
        <w:sz w:val="13"/>
        <w:szCs w:val="13"/>
      </w:rPr>
      <w:t>Sichuan Yitongtianhe Tendering Agent Co. Ltd</w:t>
    </w:r>
    <w:r>
      <w:rPr>
        <w:rFonts w:hint="eastAsia" w:ascii="宋体" w:hAnsi="宋体" w:cs="宋体"/>
        <w:b/>
        <w:bCs/>
        <w:sz w:val="13"/>
        <w:szCs w:val="13"/>
      </w:rPr>
      <w:t xml:space="preserve"> </w:t>
    </w:r>
    <w:r>
      <w:rPr>
        <w:rFonts w:hint="eastAsia" w:ascii="宋体" w:hAnsi="宋体" w:cs="宋体"/>
        <w:b/>
        <w:bCs/>
        <w:szCs w:val="18"/>
      </w:rPr>
      <w:t xml:space="preserve">                                    公开·公平·公正·诚信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89285"/>
    <w:multiLevelType w:val="singleLevel"/>
    <w:tmpl w:val="A7F89285"/>
    <w:lvl w:ilvl="0" w:tentative="0">
      <w:start w:val="4"/>
      <w:numFmt w:val="chineseCounting"/>
      <w:suff w:val="space"/>
      <w:lvlText w:val="第%1条"/>
      <w:lvlJc w:val="left"/>
      <w:rPr>
        <w:rFonts w:hint="eastAsia"/>
      </w:rPr>
    </w:lvl>
  </w:abstractNum>
  <w:abstractNum w:abstractNumId="1">
    <w:nsid w:val="CAD5FE89"/>
    <w:multiLevelType w:val="singleLevel"/>
    <w:tmpl w:val="CAD5FE89"/>
    <w:lvl w:ilvl="0" w:tentative="0">
      <w:start w:val="5"/>
      <w:numFmt w:val="chineseCounting"/>
      <w:suff w:val="space"/>
      <w:lvlText w:val="第%1章"/>
      <w:lvlJc w:val="left"/>
      <w:rPr>
        <w:rFonts w:hint="eastAsia"/>
      </w:rPr>
    </w:lvl>
  </w:abstractNum>
  <w:abstractNum w:abstractNumId="2">
    <w:nsid w:val="04D799FA"/>
    <w:multiLevelType w:val="singleLevel"/>
    <w:tmpl w:val="04D799FA"/>
    <w:lvl w:ilvl="0" w:tentative="0">
      <w:start w:val="3"/>
      <w:numFmt w:val="chineseCounting"/>
      <w:suff w:val="space"/>
      <w:lvlText w:val="第%1条"/>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NjBmOGE5MjNhODQzMTU3NmZiZmU5YTI0OGJiNzQifQ=="/>
  </w:docVars>
  <w:rsids>
    <w:rsidRoot w:val="00AC1526"/>
    <w:rsid w:val="0002588A"/>
    <w:rsid w:val="00112033"/>
    <w:rsid w:val="00270BE1"/>
    <w:rsid w:val="0029191E"/>
    <w:rsid w:val="00382DEE"/>
    <w:rsid w:val="003B62B8"/>
    <w:rsid w:val="003C0830"/>
    <w:rsid w:val="003C5F42"/>
    <w:rsid w:val="003E5C9A"/>
    <w:rsid w:val="00466EBF"/>
    <w:rsid w:val="0048023F"/>
    <w:rsid w:val="00484EA3"/>
    <w:rsid w:val="00493353"/>
    <w:rsid w:val="004E1798"/>
    <w:rsid w:val="004E75FC"/>
    <w:rsid w:val="00547693"/>
    <w:rsid w:val="0058170D"/>
    <w:rsid w:val="00616746"/>
    <w:rsid w:val="00625B2D"/>
    <w:rsid w:val="006E5B80"/>
    <w:rsid w:val="0072505C"/>
    <w:rsid w:val="00736C71"/>
    <w:rsid w:val="007958E0"/>
    <w:rsid w:val="0079626F"/>
    <w:rsid w:val="008A251E"/>
    <w:rsid w:val="008B5056"/>
    <w:rsid w:val="009224FE"/>
    <w:rsid w:val="00927079"/>
    <w:rsid w:val="00955BF1"/>
    <w:rsid w:val="00985F00"/>
    <w:rsid w:val="009C0000"/>
    <w:rsid w:val="009C3B9A"/>
    <w:rsid w:val="00A26389"/>
    <w:rsid w:val="00A70F6D"/>
    <w:rsid w:val="00AB6A6B"/>
    <w:rsid w:val="00AC1526"/>
    <w:rsid w:val="00B17434"/>
    <w:rsid w:val="00B57004"/>
    <w:rsid w:val="00B76409"/>
    <w:rsid w:val="00BB0D9E"/>
    <w:rsid w:val="00BD1148"/>
    <w:rsid w:val="00BD7393"/>
    <w:rsid w:val="00BE32F3"/>
    <w:rsid w:val="00BF35FB"/>
    <w:rsid w:val="00CA0F04"/>
    <w:rsid w:val="00D54126"/>
    <w:rsid w:val="00D5592F"/>
    <w:rsid w:val="00D927C2"/>
    <w:rsid w:val="00D964B0"/>
    <w:rsid w:val="00DF4380"/>
    <w:rsid w:val="00E71765"/>
    <w:rsid w:val="00EB412F"/>
    <w:rsid w:val="00ED74CC"/>
    <w:rsid w:val="00F37068"/>
    <w:rsid w:val="00FA5CBC"/>
    <w:rsid w:val="00FC1E5F"/>
    <w:rsid w:val="00FD5616"/>
    <w:rsid w:val="010351AA"/>
    <w:rsid w:val="01066A48"/>
    <w:rsid w:val="010F39E1"/>
    <w:rsid w:val="01233F02"/>
    <w:rsid w:val="012610ED"/>
    <w:rsid w:val="014D0B1B"/>
    <w:rsid w:val="016A03B4"/>
    <w:rsid w:val="016A347B"/>
    <w:rsid w:val="01853E9B"/>
    <w:rsid w:val="01A52705"/>
    <w:rsid w:val="01A71AC7"/>
    <w:rsid w:val="01C012ED"/>
    <w:rsid w:val="01C5771A"/>
    <w:rsid w:val="01CE2522"/>
    <w:rsid w:val="01D86637"/>
    <w:rsid w:val="01EB021E"/>
    <w:rsid w:val="01FF0CF1"/>
    <w:rsid w:val="025008C3"/>
    <w:rsid w:val="02535CBD"/>
    <w:rsid w:val="025A6F36"/>
    <w:rsid w:val="026E0D49"/>
    <w:rsid w:val="02704AC1"/>
    <w:rsid w:val="02752E4A"/>
    <w:rsid w:val="028257FD"/>
    <w:rsid w:val="02B52517"/>
    <w:rsid w:val="02F01B74"/>
    <w:rsid w:val="03141A45"/>
    <w:rsid w:val="03254A47"/>
    <w:rsid w:val="03343D40"/>
    <w:rsid w:val="033E2040"/>
    <w:rsid w:val="035166A0"/>
    <w:rsid w:val="03546191"/>
    <w:rsid w:val="03600692"/>
    <w:rsid w:val="03655CA8"/>
    <w:rsid w:val="038720C2"/>
    <w:rsid w:val="03E5328D"/>
    <w:rsid w:val="040A2791"/>
    <w:rsid w:val="04180F6C"/>
    <w:rsid w:val="041E1480"/>
    <w:rsid w:val="043A35D9"/>
    <w:rsid w:val="04455AD9"/>
    <w:rsid w:val="044C330C"/>
    <w:rsid w:val="044F7F89"/>
    <w:rsid w:val="04510A39"/>
    <w:rsid w:val="045847F3"/>
    <w:rsid w:val="04673CA2"/>
    <w:rsid w:val="046C392C"/>
    <w:rsid w:val="0475155E"/>
    <w:rsid w:val="047A5783"/>
    <w:rsid w:val="04826D2E"/>
    <w:rsid w:val="048C3708"/>
    <w:rsid w:val="049820AD"/>
    <w:rsid w:val="04C01616"/>
    <w:rsid w:val="04CD082D"/>
    <w:rsid w:val="04DC643E"/>
    <w:rsid w:val="04F73278"/>
    <w:rsid w:val="04FE4606"/>
    <w:rsid w:val="050339CA"/>
    <w:rsid w:val="05090CB0"/>
    <w:rsid w:val="051E63D5"/>
    <w:rsid w:val="054D10EA"/>
    <w:rsid w:val="054E0CF1"/>
    <w:rsid w:val="054E0D55"/>
    <w:rsid w:val="05657989"/>
    <w:rsid w:val="056D6190"/>
    <w:rsid w:val="056F72B2"/>
    <w:rsid w:val="05864F0B"/>
    <w:rsid w:val="05A86320"/>
    <w:rsid w:val="05B54C2B"/>
    <w:rsid w:val="05C27FDE"/>
    <w:rsid w:val="05CC71A7"/>
    <w:rsid w:val="05DF6ADE"/>
    <w:rsid w:val="05E01FDE"/>
    <w:rsid w:val="05E84BAA"/>
    <w:rsid w:val="05F31C91"/>
    <w:rsid w:val="05FD2B10"/>
    <w:rsid w:val="060C2D53"/>
    <w:rsid w:val="06135E8F"/>
    <w:rsid w:val="06160990"/>
    <w:rsid w:val="061A481B"/>
    <w:rsid w:val="06494EFE"/>
    <w:rsid w:val="06497B03"/>
    <w:rsid w:val="067A42A9"/>
    <w:rsid w:val="069074E0"/>
    <w:rsid w:val="06A72A7B"/>
    <w:rsid w:val="06B07B82"/>
    <w:rsid w:val="06B63FCE"/>
    <w:rsid w:val="06BA27AF"/>
    <w:rsid w:val="06C60C8F"/>
    <w:rsid w:val="06E1184A"/>
    <w:rsid w:val="06FA2BAB"/>
    <w:rsid w:val="06FC6923"/>
    <w:rsid w:val="07043A2A"/>
    <w:rsid w:val="070677A2"/>
    <w:rsid w:val="07230354"/>
    <w:rsid w:val="073F06A3"/>
    <w:rsid w:val="07480C4F"/>
    <w:rsid w:val="077A3CEC"/>
    <w:rsid w:val="079010FE"/>
    <w:rsid w:val="079C0106"/>
    <w:rsid w:val="079F032A"/>
    <w:rsid w:val="07CB2254"/>
    <w:rsid w:val="07DA34DB"/>
    <w:rsid w:val="07DD49A7"/>
    <w:rsid w:val="07E01DA1"/>
    <w:rsid w:val="07E239E2"/>
    <w:rsid w:val="07E736F8"/>
    <w:rsid w:val="07F244D8"/>
    <w:rsid w:val="08161C67"/>
    <w:rsid w:val="081E0B1B"/>
    <w:rsid w:val="08383C75"/>
    <w:rsid w:val="083E5ECD"/>
    <w:rsid w:val="08597DA5"/>
    <w:rsid w:val="085A2866"/>
    <w:rsid w:val="08850B9A"/>
    <w:rsid w:val="08AA0601"/>
    <w:rsid w:val="08AE1E9F"/>
    <w:rsid w:val="08B374B6"/>
    <w:rsid w:val="08C711B3"/>
    <w:rsid w:val="08DD4532"/>
    <w:rsid w:val="0902081A"/>
    <w:rsid w:val="091145A3"/>
    <w:rsid w:val="091579F6"/>
    <w:rsid w:val="093A3733"/>
    <w:rsid w:val="09573DFC"/>
    <w:rsid w:val="09630EDC"/>
    <w:rsid w:val="09767212"/>
    <w:rsid w:val="098552F9"/>
    <w:rsid w:val="099D544E"/>
    <w:rsid w:val="09A908B8"/>
    <w:rsid w:val="09BE63DB"/>
    <w:rsid w:val="09CD45A7"/>
    <w:rsid w:val="09DC5850"/>
    <w:rsid w:val="09EC19CB"/>
    <w:rsid w:val="09FC4E8C"/>
    <w:rsid w:val="09FC6C3A"/>
    <w:rsid w:val="0A082C7A"/>
    <w:rsid w:val="0A140428"/>
    <w:rsid w:val="0A165F4E"/>
    <w:rsid w:val="0A1A76A0"/>
    <w:rsid w:val="0A312D88"/>
    <w:rsid w:val="0A337E8E"/>
    <w:rsid w:val="0A434999"/>
    <w:rsid w:val="0A5C568E"/>
    <w:rsid w:val="0A634F0B"/>
    <w:rsid w:val="0A693642"/>
    <w:rsid w:val="0A7113D6"/>
    <w:rsid w:val="0A8A2498"/>
    <w:rsid w:val="0AA55524"/>
    <w:rsid w:val="0AB60A3E"/>
    <w:rsid w:val="0AC77248"/>
    <w:rsid w:val="0ADD41F4"/>
    <w:rsid w:val="0ADE6149"/>
    <w:rsid w:val="0AED413C"/>
    <w:rsid w:val="0B1B1342"/>
    <w:rsid w:val="0B1E7109"/>
    <w:rsid w:val="0B224DC6"/>
    <w:rsid w:val="0B316DB7"/>
    <w:rsid w:val="0B4037EC"/>
    <w:rsid w:val="0B4B1C27"/>
    <w:rsid w:val="0B4C2A5F"/>
    <w:rsid w:val="0B4D3BF1"/>
    <w:rsid w:val="0B627D5D"/>
    <w:rsid w:val="0B6F523B"/>
    <w:rsid w:val="0B7A69B0"/>
    <w:rsid w:val="0BC83278"/>
    <w:rsid w:val="0BD03DF5"/>
    <w:rsid w:val="0BE1258C"/>
    <w:rsid w:val="0BE856C8"/>
    <w:rsid w:val="0C205003"/>
    <w:rsid w:val="0C2A560F"/>
    <w:rsid w:val="0C5869BF"/>
    <w:rsid w:val="0C6A3F4E"/>
    <w:rsid w:val="0C6D3E1F"/>
    <w:rsid w:val="0C792009"/>
    <w:rsid w:val="0C795A8B"/>
    <w:rsid w:val="0C945850"/>
    <w:rsid w:val="0CC4769C"/>
    <w:rsid w:val="0CC9374C"/>
    <w:rsid w:val="0CD143AE"/>
    <w:rsid w:val="0CDE6ACB"/>
    <w:rsid w:val="0CF84031"/>
    <w:rsid w:val="0CF92712"/>
    <w:rsid w:val="0D0B3D64"/>
    <w:rsid w:val="0D23119C"/>
    <w:rsid w:val="0D2546FA"/>
    <w:rsid w:val="0D2C212C"/>
    <w:rsid w:val="0D3000CB"/>
    <w:rsid w:val="0D3B3F1D"/>
    <w:rsid w:val="0D4940E8"/>
    <w:rsid w:val="0D4A5F0F"/>
    <w:rsid w:val="0D5811A5"/>
    <w:rsid w:val="0D584ACF"/>
    <w:rsid w:val="0D786F20"/>
    <w:rsid w:val="0D7F205C"/>
    <w:rsid w:val="0D800F67"/>
    <w:rsid w:val="0DB14B56"/>
    <w:rsid w:val="0DB7436B"/>
    <w:rsid w:val="0DFE63CA"/>
    <w:rsid w:val="0E056A05"/>
    <w:rsid w:val="0E0C2C77"/>
    <w:rsid w:val="0E1B7FD7"/>
    <w:rsid w:val="0E365AE8"/>
    <w:rsid w:val="0E404166"/>
    <w:rsid w:val="0E541D87"/>
    <w:rsid w:val="0E574D87"/>
    <w:rsid w:val="0E666D78"/>
    <w:rsid w:val="0E794CFD"/>
    <w:rsid w:val="0E843B41"/>
    <w:rsid w:val="0E9438E5"/>
    <w:rsid w:val="0E9974C9"/>
    <w:rsid w:val="0EDF01FD"/>
    <w:rsid w:val="0EE537AE"/>
    <w:rsid w:val="0EF80307"/>
    <w:rsid w:val="0F15489A"/>
    <w:rsid w:val="0F266649"/>
    <w:rsid w:val="0F336AE1"/>
    <w:rsid w:val="0F34343C"/>
    <w:rsid w:val="0F3E035A"/>
    <w:rsid w:val="0F4E7F38"/>
    <w:rsid w:val="0F692C78"/>
    <w:rsid w:val="0F955B67"/>
    <w:rsid w:val="0FD063F1"/>
    <w:rsid w:val="0FE25086"/>
    <w:rsid w:val="10462FC1"/>
    <w:rsid w:val="10593038"/>
    <w:rsid w:val="10595313"/>
    <w:rsid w:val="10611473"/>
    <w:rsid w:val="106E4354"/>
    <w:rsid w:val="108865E6"/>
    <w:rsid w:val="109220A6"/>
    <w:rsid w:val="10BC5375"/>
    <w:rsid w:val="10D72BA9"/>
    <w:rsid w:val="10D91A83"/>
    <w:rsid w:val="10E26B62"/>
    <w:rsid w:val="10F5039C"/>
    <w:rsid w:val="10FB5E9E"/>
    <w:rsid w:val="10FD1C16"/>
    <w:rsid w:val="11286567"/>
    <w:rsid w:val="112F78F5"/>
    <w:rsid w:val="113F313A"/>
    <w:rsid w:val="11405FA6"/>
    <w:rsid w:val="11553030"/>
    <w:rsid w:val="117417AC"/>
    <w:rsid w:val="11862732"/>
    <w:rsid w:val="118F2BE7"/>
    <w:rsid w:val="11BF559F"/>
    <w:rsid w:val="11CB5870"/>
    <w:rsid w:val="11DB4254"/>
    <w:rsid w:val="120C7C36"/>
    <w:rsid w:val="121D1E44"/>
    <w:rsid w:val="124549D8"/>
    <w:rsid w:val="124E69B9"/>
    <w:rsid w:val="12A004AE"/>
    <w:rsid w:val="12B66520"/>
    <w:rsid w:val="12D32636"/>
    <w:rsid w:val="12F554FB"/>
    <w:rsid w:val="12FE425F"/>
    <w:rsid w:val="130354DD"/>
    <w:rsid w:val="130E16C8"/>
    <w:rsid w:val="13165211"/>
    <w:rsid w:val="13174CD7"/>
    <w:rsid w:val="1319085D"/>
    <w:rsid w:val="13407938"/>
    <w:rsid w:val="134C478E"/>
    <w:rsid w:val="1351449B"/>
    <w:rsid w:val="135B70C7"/>
    <w:rsid w:val="13660293"/>
    <w:rsid w:val="137B49BF"/>
    <w:rsid w:val="138C54D3"/>
    <w:rsid w:val="13985C26"/>
    <w:rsid w:val="13A022EF"/>
    <w:rsid w:val="13A445CA"/>
    <w:rsid w:val="140E7C96"/>
    <w:rsid w:val="14150F71"/>
    <w:rsid w:val="1417786F"/>
    <w:rsid w:val="142179C9"/>
    <w:rsid w:val="142E0338"/>
    <w:rsid w:val="143811B7"/>
    <w:rsid w:val="144B0EEA"/>
    <w:rsid w:val="14603804"/>
    <w:rsid w:val="14653F0C"/>
    <w:rsid w:val="14665858"/>
    <w:rsid w:val="14834D35"/>
    <w:rsid w:val="148440AB"/>
    <w:rsid w:val="148924D2"/>
    <w:rsid w:val="14A64372"/>
    <w:rsid w:val="14B95E54"/>
    <w:rsid w:val="14C43F0E"/>
    <w:rsid w:val="14CF5112"/>
    <w:rsid w:val="15000D6C"/>
    <w:rsid w:val="150608DE"/>
    <w:rsid w:val="150E33E4"/>
    <w:rsid w:val="152A6D51"/>
    <w:rsid w:val="152B4878"/>
    <w:rsid w:val="154222ED"/>
    <w:rsid w:val="15444AA3"/>
    <w:rsid w:val="15493D36"/>
    <w:rsid w:val="159E329B"/>
    <w:rsid w:val="15B4006F"/>
    <w:rsid w:val="15BF18BB"/>
    <w:rsid w:val="15D51A21"/>
    <w:rsid w:val="15DA0777"/>
    <w:rsid w:val="1609105D"/>
    <w:rsid w:val="160A7E21"/>
    <w:rsid w:val="160C37B2"/>
    <w:rsid w:val="16325C9C"/>
    <w:rsid w:val="165A3C92"/>
    <w:rsid w:val="165C577E"/>
    <w:rsid w:val="1666236D"/>
    <w:rsid w:val="166A408C"/>
    <w:rsid w:val="166C15D4"/>
    <w:rsid w:val="166C63F2"/>
    <w:rsid w:val="16775FC6"/>
    <w:rsid w:val="167A7865"/>
    <w:rsid w:val="167E55A7"/>
    <w:rsid w:val="16883D86"/>
    <w:rsid w:val="169B2DD0"/>
    <w:rsid w:val="16A10EC1"/>
    <w:rsid w:val="16A448E1"/>
    <w:rsid w:val="16AD7488"/>
    <w:rsid w:val="16D42C63"/>
    <w:rsid w:val="16D90A2F"/>
    <w:rsid w:val="16DB47A7"/>
    <w:rsid w:val="16E7667C"/>
    <w:rsid w:val="16F92E7F"/>
    <w:rsid w:val="16FA488A"/>
    <w:rsid w:val="16FE7895"/>
    <w:rsid w:val="170830C2"/>
    <w:rsid w:val="17364444"/>
    <w:rsid w:val="174A03C5"/>
    <w:rsid w:val="176278D2"/>
    <w:rsid w:val="176D1177"/>
    <w:rsid w:val="177C760C"/>
    <w:rsid w:val="178D1819"/>
    <w:rsid w:val="179D1A5D"/>
    <w:rsid w:val="17A14F3D"/>
    <w:rsid w:val="17C92852"/>
    <w:rsid w:val="17D9570B"/>
    <w:rsid w:val="17E432FB"/>
    <w:rsid w:val="18167A61"/>
    <w:rsid w:val="185257C7"/>
    <w:rsid w:val="1857752E"/>
    <w:rsid w:val="185A09A7"/>
    <w:rsid w:val="185C36C6"/>
    <w:rsid w:val="187C78C4"/>
    <w:rsid w:val="188744BB"/>
    <w:rsid w:val="1888270D"/>
    <w:rsid w:val="18A84B5D"/>
    <w:rsid w:val="18E611E1"/>
    <w:rsid w:val="18ED6A14"/>
    <w:rsid w:val="190440CD"/>
    <w:rsid w:val="19397563"/>
    <w:rsid w:val="193A152D"/>
    <w:rsid w:val="19734D7B"/>
    <w:rsid w:val="19B06E72"/>
    <w:rsid w:val="19CF1C75"/>
    <w:rsid w:val="19D35C0A"/>
    <w:rsid w:val="19F85670"/>
    <w:rsid w:val="1A2B77F4"/>
    <w:rsid w:val="1A3B5F1F"/>
    <w:rsid w:val="1A5328A6"/>
    <w:rsid w:val="1A554742"/>
    <w:rsid w:val="1A607EAE"/>
    <w:rsid w:val="1A680B5D"/>
    <w:rsid w:val="1A7335AE"/>
    <w:rsid w:val="1A78230D"/>
    <w:rsid w:val="1A7A6085"/>
    <w:rsid w:val="1A9D1D74"/>
    <w:rsid w:val="1AC27A2C"/>
    <w:rsid w:val="1AD35795"/>
    <w:rsid w:val="1AE856E5"/>
    <w:rsid w:val="1AEB78E2"/>
    <w:rsid w:val="1AF077EF"/>
    <w:rsid w:val="1B3426D8"/>
    <w:rsid w:val="1B3D70D6"/>
    <w:rsid w:val="1B4D5548"/>
    <w:rsid w:val="1B596248"/>
    <w:rsid w:val="1B6470D8"/>
    <w:rsid w:val="1B6B2A38"/>
    <w:rsid w:val="1B830F69"/>
    <w:rsid w:val="1B93689C"/>
    <w:rsid w:val="1B9C202B"/>
    <w:rsid w:val="1BA51472"/>
    <w:rsid w:val="1BB3536B"/>
    <w:rsid w:val="1BCD2505"/>
    <w:rsid w:val="1BD52EA3"/>
    <w:rsid w:val="1BF52CA8"/>
    <w:rsid w:val="1BFA05BD"/>
    <w:rsid w:val="1C43328C"/>
    <w:rsid w:val="1C4405B4"/>
    <w:rsid w:val="1C450798"/>
    <w:rsid w:val="1C4C3A51"/>
    <w:rsid w:val="1C4E5A1B"/>
    <w:rsid w:val="1C534F2C"/>
    <w:rsid w:val="1C6362A9"/>
    <w:rsid w:val="1C6425F0"/>
    <w:rsid w:val="1C687C73"/>
    <w:rsid w:val="1C9A12FE"/>
    <w:rsid w:val="1CA621EB"/>
    <w:rsid w:val="1CA94C67"/>
    <w:rsid w:val="1CBD04AB"/>
    <w:rsid w:val="1CCE090A"/>
    <w:rsid w:val="1CE26164"/>
    <w:rsid w:val="1CEC2B3E"/>
    <w:rsid w:val="1D101558"/>
    <w:rsid w:val="1D2D315B"/>
    <w:rsid w:val="1D44297A"/>
    <w:rsid w:val="1D552C59"/>
    <w:rsid w:val="1D5A3F4C"/>
    <w:rsid w:val="1D5C20F1"/>
    <w:rsid w:val="1D5C231F"/>
    <w:rsid w:val="1D652C3D"/>
    <w:rsid w:val="1D6A1258"/>
    <w:rsid w:val="1D880AB9"/>
    <w:rsid w:val="1D927B8A"/>
    <w:rsid w:val="1DAF0A28"/>
    <w:rsid w:val="1DBA2C3C"/>
    <w:rsid w:val="1DD01570"/>
    <w:rsid w:val="1DD80E42"/>
    <w:rsid w:val="1DEA1774"/>
    <w:rsid w:val="1DF61266"/>
    <w:rsid w:val="1DFA4204"/>
    <w:rsid w:val="1DFC5340"/>
    <w:rsid w:val="1E193E07"/>
    <w:rsid w:val="1E1A747B"/>
    <w:rsid w:val="1E3C6CD1"/>
    <w:rsid w:val="1E4E5975"/>
    <w:rsid w:val="1E65045B"/>
    <w:rsid w:val="1E6B2A02"/>
    <w:rsid w:val="1E831280"/>
    <w:rsid w:val="1E8374D5"/>
    <w:rsid w:val="1E8D7C12"/>
    <w:rsid w:val="1E9F052E"/>
    <w:rsid w:val="1EAA4A5F"/>
    <w:rsid w:val="1EB12291"/>
    <w:rsid w:val="1EBD29E4"/>
    <w:rsid w:val="1ECC0E79"/>
    <w:rsid w:val="1F0170A7"/>
    <w:rsid w:val="1F130BF9"/>
    <w:rsid w:val="1F467FD1"/>
    <w:rsid w:val="1F5F2643"/>
    <w:rsid w:val="1F686DF4"/>
    <w:rsid w:val="1F792DAF"/>
    <w:rsid w:val="1FA140B4"/>
    <w:rsid w:val="1FB05C84"/>
    <w:rsid w:val="1FB42039"/>
    <w:rsid w:val="1FB97650"/>
    <w:rsid w:val="1FE761AE"/>
    <w:rsid w:val="1FF142A7"/>
    <w:rsid w:val="20063D1F"/>
    <w:rsid w:val="200D4523"/>
    <w:rsid w:val="201E5705"/>
    <w:rsid w:val="20222654"/>
    <w:rsid w:val="20316591"/>
    <w:rsid w:val="205213BE"/>
    <w:rsid w:val="20601879"/>
    <w:rsid w:val="207F6EB1"/>
    <w:rsid w:val="20823EE5"/>
    <w:rsid w:val="208870A0"/>
    <w:rsid w:val="20A43E5C"/>
    <w:rsid w:val="20A976C4"/>
    <w:rsid w:val="20AE0135"/>
    <w:rsid w:val="20C91B14"/>
    <w:rsid w:val="20CE06AD"/>
    <w:rsid w:val="20D21F1E"/>
    <w:rsid w:val="20D61B3B"/>
    <w:rsid w:val="20DD111C"/>
    <w:rsid w:val="20DF4E94"/>
    <w:rsid w:val="20E533CF"/>
    <w:rsid w:val="21432ED9"/>
    <w:rsid w:val="21551589"/>
    <w:rsid w:val="21570ECE"/>
    <w:rsid w:val="21867450"/>
    <w:rsid w:val="218818DB"/>
    <w:rsid w:val="218A33B2"/>
    <w:rsid w:val="21E85FCA"/>
    <w:rsid w:val="21E93AF0"/>
    <w:rsid w:val="21F030D1"/>
    <w:rsid w:val="2217065D"/>
    <w:rsid w:val="22364F87"/>
    <w:rsid w:val="22443D57"/>
    <w:rsid w:val="224C46D1"/>
    <w:rsid w:val="225618EE"/>
    <w:rsid w:val="225673D8"/>
    <w:rsid w:val="22574EFE"/>
    <w:rsid w:val="22610433"/>
    <w:rsid w:val="22723AE6"/>
    <w:rsid w:val="22905161"/>
    <w:rsid w:val="22D12F02"/>
    <w:rsid w:val="22D802A6"/>
    <w:rsid w:val="23103A2A"/>
    <w:rsid w:val="231828DF"/>
    <w:rsid w:val="233A4603"/>
    <w:rsid w:val="2348215C"/>
    <w:rsid w:val="23527182"/>
    <w:rsid w:val="235C0A1E"/>
    <w:rsid w:val="23827D58"/>
    <w:rsid w:val="23827DBB"/>
    <w:rsid w:val="23880232"/>
    <w:rsid w:val="23C6058D"/>
    <w:rsid w:val="23CC08DD"/>
    <w:rsid w:val="23ED1676"/>
    <w:rsid w:val="2406098A"/>
    <w:rsid w:val="241308D1"/>
    <w:rsid w:val="24207C9D"/>
    <w:rsid w:val="24291312"/>
    <w:rsid w:val="242C4341"/>
    <w:rsid w:val="244A6AC8"/>
    <w:rsid w:val="24544F41"/>
    <w:rsid w:val="245F6B9F"/>
    <w:rsid w:val="24636277"/>
    <w:rsid w:val="248F525D"/>
    <w:rsid w:val="24A05920"/>
    <w:rsid w:val="24A3442A"/>
    <w:rsid w:val="24B225B0"/>
    <w:rsid w:val="24B403E6"/>
    <w:rsid w:val="24C26FA6"/>
    <w:rsid w:val="24D80578"/>
    <w:rsid w:val="24E45416"/>
    <w:rsid w:val="25007ACF"/>
    <w:rsid w:val="250A2735"/>
    <w:rsid w:val="25227A45"/>
    <w:rsid w:val="254D45A6"/>
    <w:rsid w:val="259C56A9"/>
    <w:rsid w:val="25AE12D9"/>
    <w:rsid w:val="25AE7098"/>
    <w:rsid w:val="25C7239A"/>
    <w:rsid w:val="25DA526E"/>
    <w:rsid w:val="25E1520A"/>
    <w:rsid w:val="25E44647"/>
    <w:rsid w:val="25F71222"/>
    <w:rsid w:val="2609650F"/>
    <w:rsid w:val="261C6B71"/>
    <w:rsid w:val="265066E3"/>
    <w:rsid w:val="26555BF8"/>
    <w:rsid w:val="265C2AE3"/>
    <w:rsid w:val="266632B3"/>
    <w:rsid w:val="26720558"/>
    <w:rsid w:val="267E0CAB"/>
    <w:rsid w:val="26A12BEB"/>
    <w:rsid w:val="26BD5C77"/>
    <w:rsid w:val="26BE553B"/>
    <w:rsid w:val="26CF59AB"/>
    <w:rsid w:val="26DD00C8"/>
    <w:rsid w:val="26EA2685"/>
    <w:rsid w:val="27037402"/>
    <w:rsid w:val="2725381D"/>
    <w:rsid w:val="27296CB0"/>
    <w:rsid w:val="272E26D1"/>
    <w:rsid w:val="27366FB7"/>
    <w:rsid w:val="273D2914"/>
    <w:rsid w:val="27554187"/>
    <w:rsid w:val="276F5F4E"/>
    <w:rsid w:val="27952750"/>
    <w:rsid w:val="279B763B"/>
    <w:rsid w:val="27B315B8"/>
    <w:rsid w:val="27BF157B"/>
    <w:rsid w:val="27BF5A1F"/>
    <w:rsid w:val="27CC1EEA"/>
    <w:rsid w:val="27E4200F"/>
    <w:rsid w:val="27F31225"/>
    <w:rsid w:val="280379AF"/>
    <w:rsid w:val="280671AA"/>
    <w:rsid w:val="281443D1"/>
    <w:rsid w:val="282633A8"/>
    <w:rsid w:val="283442CA"/>
    <w:rsid w:val="28431CCC"/>
    <w:rsid w:val="28604E36"/>
    <w:rsid w:val="28697739"/>
    <w:rsid w:val="28814A83"/>
    <w:rsid w:val="28877ECD"/>
    <w:rsid w:val="289B0EFF"/>
    <w:rsid w:val="28AA222B"/>
    <w:rsid w:val="28E3573D"/>
    <w:rsid w:val="29192F0D"/>
    <w:rsid w:val="291B489A"/>
    <w:rsid w:val="294F4B81"/>
    <w:rsid w:val="29522056"/>
    <w:rsid w:val="29617E99"/>
    <w:rsid w:val="29876C1F"/>
    <w:rsid w:val="298F4F7D"/>
    <w:rsid w:val="29F21B22"/>
    <w:rsid w:val="29F64FFC"/>
    <w:rsid w:val="2A077209"/>
    <w:rsid w:val="2A104310"/>
    <w:rsid w:val="2A2E77B4"/>
    <w:rsid w:val="2A6B1546"/>
    <w:rsid w:val="2A7A43ED"/>
    <w:rsid w:val="2ACF41CB"/>
    <w:rsid w:val="2AE17A5A"/>
    <w:rsid w:val="2AE5195A"/>
    <w:rsid w:val="2AF23A16"/>
    <w:rsid w:val="2B05199B"/>
    <w:rsid w:val="2B0A0D5F"/>
    <w:rsid w:val="2B193698"/>
    <w:rsid w:val="2B1E480B"/>
    <w:rsid w:val="2B251E02"/>
    <w:rsid w:val="2B3D1646"/>
    <w:rsid w:val="2B3D4A46"/>
    <w:rsid w:val="2B7E3888"/>
    <w:rsid w:val="2B7F799F"/>
    <w:rsid w:val="2B875BF0"/>
    <w:rsid w:val="2B91322F"/>
    <w:rsid w:val="2BB84FAD"/>
    <w:rsid w:val="2BBB64FD"/>
    <w:rsid w:val="2BD10984"/>
    <w:rsid w:val="2C025264"/>
    <w:rsid w:val="2C163734"/>
    <w:rsid w:val="2C414C55"/>
    <w:rsid w:val="2C603424"/>
    <w:rsid w:val="2C675C97"/>
    <w:rsid w:val="2C7A1F15"/>
    <w:rsid w:val="2C8E3C12"/>
    <w:rsid w:val="2CBC5812"/>
    <w:rsid w:val="2CC55405"/>
    <w:rsid w:val="2CD54892"/>
    <w:rsid w:val="2CEE645F"/>
    <w:rsid w:val="2CF75313"/>
    <w:rsid w:val="2D07124C"/>
    <w:rsid w:val="2D076C21"/>
    <w:rsid w:val="2D15631C"/>
    <w:rsid w:val="2D3A16A4"/>
    <w:rsid w:val="2D3D4257"/>
    <w:rsid w:val="2D48234F"/>
    <w:rsid w:val="2D684463"/>
    <w:rsid w:val="2D75645F"/>
    <w:rsid w:val="2DAC419C"/>
    <w:rsid w:val="2DBC0253"/>
    <w:rsid w:val="2DCC67A0"/>
    <w:rsid w:val="2DCD656C"/>
    <w:rsid w:val="2DD64671"/>
    <w:rsid w:val="2DFB2577"/>
    <w:rsid w:val="2E057BF1"/>
    <w:rsid w:val="2E0E4F95"/>
    <w:rsid w:val="2E2E1597"/>
    <w:rsid w:val="2E3C2BB6"/>
    <w:rsid w:val="2E4F2F2D"/>
    <w:rsid w:val="2E532E8C"/>
    <w:rsid w:val="2E5642BC"/>
    <w:rsid w:val="2E977DCB"/>
    <w:rsid w:val="2E9A064C"/>
    <w:rsid w:val="2EA119DB"/>
    <w:rsid w:val="2EAC5881"/>
    <w:rsid w:val="2EC5742F"/>
    <w:rsid w:val="2EC96620"/>
    <w:rsid w:val="2ECD27D0"/>
    <w:rsid w:val="2EDD45A5"/>
    <w:rsid w:val="2EEB0EA8"/>
    <w:rsid w:val="2F065CE2"/>
    <w:rsid w:val="2F565C77"/>
    <w:rsid w:val="2FA15A0A"/>
    <w:rsid w:val="2FAF0127"/>
    <w:rsid w:val="2FBB6ACC"/>
    <w:rsid w:val="2FC02B97"/>
    <w:rsid w:val="2FD44032"/>
    <w:rsid w:val="2FEA3DC5"/>
    <w:rsid w:val="2FF26266"/>
    <w:rsid w:val="302C1778"/>
    <w:rsid w:val="304C3BC8"/>
    <w:rsid w:val="30521481"/>
    <w:rsid w:val="307C26FF"/>
    <w:rsid w:val="308C0468"/>
    <w:rsid w:val="30AE0286"/>
    <w:rsid w:val="30B77528"/>
    <w:rsid w:val="30C440F6"/>
    <w:rsid w:val="30D75B88"/>
    <w:rsid w:val="30E107B4"/>
    <w:rsid w:val="30E20088"/>
    <w:rsid w:val="30F05EF7"/>
    <w:rsid w:val="30FC739C"/>
    <w:rsid w:val="30FE1366"/>
    <w:rsid w:val="311F308B"/>
    <w:rsid w:val="31230140"/>
    <w:rsid w:val="31442B8F"/>
    <w:rsid w:val="31693736"/>
    <w:rsid w:val="316E02A9"/>
    <w:rsid w:val="318372EB"/>
    <w:rsid w:val="318E7774"/>
    <w:rsid w:val="31A240F4"/>
    <w:rsid w:val="31AF440F"/>
    <w:rsid w:val="31B269F5"/>
    <w:rsid w:val="31C0661C"/>
    <w:rsid w:val="31DC2E9C"/>
    <w:rsid w:val="31E367AE"/>
    <w:rsid w:val="31F6203D"/>
    <w:rsid w:val="31F64D64"/>
    <w:rsid w:val="31F77B64"/>
    <w:rsid w:val="32042E99"/>
    <w:rsid w:val="3227669B"/>
    <w:rsid w:val="324A05DB"/>
    <w:rsid w:val="32573BD0"/>
    <w:rsid w:val="325925CC"/>
    <w:rsid w:val="32600611"/>
    <w:rsid w:val="32600727"/>
    <w:rsid w:val="32896041"/>
    <w:rsid w:val="328C79AC"/>
    <w:rsid w:val="32A510F7"/>
    <w:rsid w:val="32BF0681"/>
    <w:rsid w:val="32BF2D77"/>
    <w:rsid w:val="32C12F96"/>
    <w:rsid w:val="331312E5"/>
    <w:rsid w:val="333A0650"/>
    <w:rsid w:val="334F7E78"/>
    <w:rsid w:val="335F1EE9"/>
    <w:rsid w:val="335F62AA"/>
    <w:rsid w:val="33791178"/>
    <w:rsid w:val="33A51F6D"/>
    <w:rsid w:val="33AB6E58"/>
    <w:rsid w:val="33E46909"/>
    <w:rsid w:val="340D2319"/>
    <w:rsid w:val="341B6497"/>
    <w:rsid w:val="34565015"/>
    <w:rsid w:val="347B4A7C"/>
    <w:rsid w:val="348B0695"/>
    <w:rsid w:val="34963956"/>
    <w:rsid w:val="34A9735A"/>
    <w:rsid w:val="34BD6E42"/>
    <w:rsid w:val="34D35084"/>
    <w:rsid w:val="34E56399"/>
    <w:rsid w:val="34FA62E8"/>
    <w:rsid w:val="35067AB5"/>
    <w:rsid w:val="350B22A4"/>
    <w:rsid w:val="351A24E7"/>
    <w:rsid w:val="354E2190"/>
    <w:rsid w:val="35516986"/>
    <w:rsid w:val="35610116"/>
    <w:rsid w:val="35840DA0"/>
    <w:rsid w:val="35A3747F"/>
    <w:rsid w:val="35A46254"/>
    <w:rsid w:val="35BA672D"/>
    <w:rsid w:val="35E42AE9"/>
    <w:rsid w:val="35E5532F"/>
    <w:rsid w:val="36015455"/>
    <w:rsid w:val="361A60F9"/>
    <w:rsid w:val="361B218B"/>
    <w:rsid w:val="36260A17"/>
    <w:rsid w:val="3626225F"/>
    <w:rsid w:val="362D7FF8"/>
    <w:rsid w:val="364B1B0C"/>
    <w:rsid w:val="364C66D0"/>
    <w:rsid w:val="365411D8"/>
    <w:rsid w:val="365612FD"/>
    <w:rsid w:val="366C4FC4"/>
    <w:rsid w:val="36B32E53"/>
    <w:rsid w:val="36E56FF7"/>
    <w:rsid w:val="36E6589E"/>
    <w:rsid w:val="36E7464B"/>
    <w:rsid w:val="36F32FEF"/>
    <w:rsid w:val="37070849"/>
    <w:rsid w:val="3717287E"/>
    <w:rsid w:val="37347AAA"/>
    <w:rsid w:val="374C03C8"/>
    <w:rsid w:val="37500442"/>
    <w:rsid w:val="377063EE"/>
    <w:rsid w:val="37800E75"/>
    <w:rsid w:val="3793032E"/>
    <w:rsid w:val="379540A7"/>
    <w:rsid w:val="37A34863"/>
    <w:rsid w:val="37BA1D5F"/>
    <w:rsid w:val="37D747A3"/>
    <w:rsid w:val="380629D8"/>
    <w:rsid w:val="380D1E8F"/>
    <w:rsid w:val="380E1605"/>
    <w:rsid w:val="38192B1D"/>
    <w:rsid w:val="38430457"/>
    <w:rsid w:val="38602906"/>
    <w:rsid w:val="386C587D"/>
    <w:rsid w:val="38750761"/>
    <w:rsid w:val="389820A0"/>
    <w:rsid w:val="38F53D14"/>
    <w:rsid w:val="390414E4"/>
    <w:rsid w:val="3914766B"/>
    <w:rsid w:val="39273424"/>
    <w:rsid w:val="39657AA9"/>
    <w:rsid w:val="39A86313"/>
    <w:rsid w:val="39C11183"/>
    <w:rsid w:val="39C57535"/>
    <w:rsid w:val="39C800BB"/>
    <w:rsid w:val="39CA2DAB"/>
    <w:rsid w:val="39DA3FF3"/>
    <w:rsid w:val="39ED70DC"/>
    <w:rsid w:val="39FE4185"/>
    <w:rsid w:val="3A020FA7"/>
    <w:rsid w:val="3A06128C"/>
    <w:rsid w:val="3A1D6AB2"/>
    <w:rsid w:val="3A327BA2"/>
    <w:rsid w:val="3A397DF8"/>
    <w:rsid w:val="3A483652"/>
    <w:rsid w:val="3A614714"/>
    <w:rsid w:val="3A704957"/>
    <w:rsid w:val="3A8512FE"/>
    <w:rsid w:val="3A8F74D3"/>
    <w:rsid w:val="3A970538"/>
    <w:rsid w:val="3AB111F7"/>
    <w:rsid w:val="3AE01ADD"/>
    <w:rsid w:val="3B044C8B"/>
    <w:rsid w:val="3B2E4FDD"/>
    <w:rsid w:val="3B41717A"/>
    <w:rsid w:val="3B700067"/>
    <w:rsid w:val="3B7F1A76"/>
    <w:rsid w:val="3B895CD0"/>
    <w:rsid w:val="3B8B1A48"/>
    <w:rsid w:val="3B96663F"/>
    <w:rsid w:val="3BA448B8"/>
    <w:rsid w:val="3BAA39BD"/>
    <w:rsid w:val="3BAD6D04"/>
    <w:rsid w:val="3BC767F9"/>
    <w:rsid w:val="3BCF28C0"/>
    <w:rsid w:val="3BDF7FE6"/>
    <w:rsid w:val="3BEE6163"/>
    <w:rsid w:val="3C0C16CC"/>
    <w:rsid w:val="3C0E4427"/>
    <w:rsid w:val="3C1732DC"/>
    <w:rsid w:val="3C430575"/>
    <w:rsid w:val="3C4A424B"/>
    <w:rsid w:val="3C4B0B48"/>
    <w:rsid w:val="3C577B7C"/>
    <w:rsid w:val="3C5B07DC"/>
    <w:rsid w:val="3C6329C5"/>
    <w:rsid w:val="3C7526A2"/>
    <w:rsid w:val="3C7E15AD"/>
    <w:rsid w:val="3C9B215F"/>
    <w:rsid w:val="3CDE204C"/>
    <w:rsid w:val="3CE27D8E"/>
    <w:rsid w:val="3CE358B4"/>
    <w:rsid w:val="3CEF4259"/>
    <w:rsid w:val="3CF63839"/>
    <w:rsid w:val="3CFB49AC"/>
    <w:rsid w:val="3D0329CE"/>
    <w:rsid w:val="3D053A7C"/>
    <w:rsid w:val="3D314871"/>
    <w:rsid w:val="3D450D67"/>
    <w:rsid w:val="3D476D34"/>
    <w:rsid w:val="3D532A3A"/>
    <w:rsid w:val="3D63236B"/>
    <w:rsid w:val="3D6C6DBD"/>
    <w:rsid w:val="3D7824A0"/>
    <w:rsid w:val="3D85696B"/>
    <w:rsid w:val="3D932E36"/>
    <w:rsid w:val="3DA515F7"/>
    <w:rsid w:val="3DC90E58"/>
    <w:rsid w:val="3DCC6348"/>
    <w:rsid w:val="3DF13974"/>
    <w:rsid w:val="3DF338D5"/>
    <w:rsid w:val="3E251C16"/>
    <w:rsid w:val="3E25429F"/>
    <w:rsid w:val="3E4E3201"/>
    <w:rsid w:val="3E702601"/>
    <w:rsid w:val="3E8804C1"/>
    <w:rsid w:val="3E9230EE"/>
    <w:rsid w:val="3EAF23B4"/>
    <w:rsid w:val="3EC82FB3"/>
    <w:rsid w:val="3ED2798E"/>
    <w:rsid w:val="3EF43DA9"/>
    <w:rsid w:val="3F0B4C4E"/>
    <w:rsid w:val="3F1B6B03"/>
    <w:rsid w:val="3F4C7741"/>
    <w:rsid w:val="3F5D36FC"/>
    <w:rsid w:val="3F780536"/>
    <w:rsid w:val="3F9F3D14"/>
    <w:rsid w:val="3FC27A03"/>
    <w:rsid w:val="3FC27C00"/>
    <w:rsid w:val="3FCD7432"/>
    <w:rsid w:val="3FEE7EC2"/>
    <w:rsid w:val="3FF44A20"/>
    <w:rsid w:val="4001677D"/>
    <w:rsid w:val="40167D4F"/>
    <w:rsid w:val="40384169"/>
    <w:rsid w:val="403A289E"/>
    <w:rsid w:val="40454BCA"/>
    <w:rsid w:val="40490124"/>
    <w:rsid w:val="404B3E9C"/>
    <w:rsid w:val="40905D53"/>
    <w:rsid w:val="4099682F"/>
    <w:rsid w:val="40C17CBA"/>
    <w:rsid w:val="40C477AB"/>
    <w:rsid w:val="40C96B6F"/>
    <w:rsid w:val="40E165AE"/>
    <w:rsid w:val="40F57964"/>
    <w:rsid w:val="410D4CAE"/>
    <w:rsid w:val="410F2445"/>
    <w:rsid w:val="41296A2D"/>
    <w:rsid w:val="41473EE6"/>
    <w:rsid w:val="418E3892"/>
    <w:rsid w:val="41A34B2C"/>
    <w:rsid w:val="41B94E35"/>
    <w:rsid w:val="41D61543"/>
    <w:rsid w:val="41D84D59"/>
    <w:rsid w:val="41D94D66"/>
    <w:rsid w:val="41FC7340"/>
    <w:rsid w:val="42015451"/>
    <w:rsid w:val="42186000"/>
    <w:rsid w:val="423B2A61"/>
    <w:rsid w:val="42435351"/>
    <w:rsid w:val="42635F32"/>
    <w:rsid w:val="42713D3D"/>
    <w:rsid w:val="42753EA0"/>
    <w:rsid w:val="42962C5C"/>
    <w:rsid w:val="42993F1B"/>
    <w:rsid w:val="42CD3E6F"/>
    <w:rsid w:val="42D3694C"/>
    <w:rsid w:val="42D53EF1"/>
    <w:rsid w:val="42FF4ACA"/>
    <w:rsid w:val="430A1DED"/>
    <w:rsid w:val="431E13F4"/>
    <w:rsid w:val="431F5BAE"/>
    <w:rsid w:val="432033BE"/>
    <w:rsid w:val="43205A92"/>
    <w:rsid w:val="432B1D63"/>
    <w:rsid w:val="43361F5E"/>
    <w:rsid w:val="43397FDC"/>
    <w:rsid w:val="433B7BB1"/>
    <w:rsid w:val="43572B58"/>
    <w:rsid w:val="435D2383"/>
    <w:rsid w:val="43670FED"/>
    <w:rsid w:val="43784FA8"/>
    <w:rsid w:val="437B6846"/>
    <w:rsid w:val="438321C9"/>
    <w:rsid w:val="439040DF"/>
    <w:rsid w:val="4392593E"/>
    <w:rsid w:val="439E2535"/>
    <w:rsid w:val="43AC2EA4"/>
    <w:rsid w:val="43BD5A53"/>
    <w:rsid w:val="43C31F9B"/>
    <w:rsid w:val="43C401ED"/>
    <w:rsid w:val="43CA1EE0"/>
    <w:rsid w:val="43D9356D"/>
    <w:rsid w:val="43E4263E"/>
    <w:rsid w:val="43EC14F2"/>
    <w:rsid w:val="43F565F9"/>
    <w:rsid w:val="44105792"/>
    <w:rsid w:val="44342473"/>
    <w:rsid w:val="443D1D4E"/>
    <w:rsid w:val="4463285D"/>
    <w:rsid w:val="44872FC9"/>
    <w:rsid w:val="44B244EA"/>
    <w:rsid w:val="44BC2C73"/>
    <w:rsid w:val="44DA61A0"/>
    <w:rsid w:val="44F3240C"/>
    <w:rsid w:val="450A03D3"/>
    <w:rsid w:val="450A60D4"/>
    <w:rsid w:val="453E7B2C"/>
    <w:rsid w:val="45482758"/>
    <w:rsid w:val="4565155C"/>
    <w:rsid w:val="457277D5"/>
    <w:rsid w:val="459B24FF"/>
    <w:rsid w:val="45AB2CE7"/>
    <w:rsid w:val="45BB7953"/>
    <w:rsid w:val="45BE6EBE"/>
    <w:rsid w:val="45C344D5"/>
    <w:rsid w:val="45C85647"/>
    <w:rsid w:val="45CD7101"/>
    <w:rsid w:val="45D05D03"/>
    <w:rsid w:val="45F92DA3"/>
    <w:rsid w:val="46182F2F"/>
    <w:rsid w:val="46690BD8"/>
    <w:rsid w:val="466A4950"/>
    <w:rsid w:val="466B6511"/>
    <w:rsid w:val="46960E27"/>
    <w:rsid w:val="46A16181"/>
    <w:rsid w:val="46B5206F"/>
    <w:rsid w:val="46E80E3D"/>
    <w:rsid w:val="46EA5EAA"/>
    <w:rsid w:val="47134FE8"/>
    <w:rsid w:val="471C5C4A"/>
    <w:rsid w:val="471F573B"/>
    <w:rsid w:val="47213261"/>
    <w:rsid w:val="472B0583"/>
    <w:rsid w:val="4736160A"/>
    <w:rsid w:val="473E3A03"/>
    <w:rsid w:val="4746716B"/>
    <w:rsid w:val="47652852"/>
    <w:rsid w:val="478657BA"/>
    <w:rsid w:val="479615B1"/>
    <w:rsid w:val="479D48C0"/>
    <w:rsid w:val="479F40CA"/>
    <w:rsid w:val="47C02AC1"/>
    <w:rsid w:val="47F16636"/>
    <w:rsid w:val="48026188"/>
    <w:rsid w:val="482A4397"/>
    <w:rsid w:val="485338EE"/>
    <w:rsid w:val="4856518C"/>
    <w:rsid w:val="48643D4D"/>
    <w:rsid w:val="48671147"/>
    <w:rsid w:val="486F44A0"/>
    <w:rsid w:val="48853CC3"/>
    <w:rsid w:val="48AB197C"/>
    <w:rsid w:val="48C540C0"/>
    <w:rsid w:val="48C77E38"/>
    <w:rsid w:val="48C91E02"/>
    <w:rsid w:val="48DD3AFF"/>
    <w:rsid w:val="49095523"/>
    <w:rsid w:val="49374FBE"/>
    <w:rsid w:val="49423962"/>
    <w:rsid w:val="494B592E"/>
    <w:rsid w:val="49566AFF"/>
    <w:rsid w:val="498A77AC"/>
    <w:rsid w:val="49AF724A"/>
    <w:rsid w:val="49B04F5C"/>
    <w:rsid w:val="49B32E44"/>
    <w:rsid w:val="49B36396"/>
    <w:rsid w:val="49E8469B"/>
    <w:rsid w:val="49F033EF"/>
    <w:rsid w:val="4A01742E"/>
    <w:rsid w:val="4A275A7F"/>
    <w:rsid w:val="4A3406E1"/>
    <w:rsid w:val="4A647D47"/>
    <w:rsid w:val="4A761B16"/>
    <w:rsid w:val="4A8238ED"/>
    <w:rsid w:val="4A8C30E7"/>
    <w:rsid w:val="4A8E408F"/>
    <w:rsid w:val="4A963F66"/>
    <w:rsid w:val="4A9B157C"/>
    <w:rsid w:val="4AAB40DE"/>
    <w:rsid w:val="4AC67337"/>
    <w:rsid w:val="4AD60D75"/>
    <w:rsid w:val="4AD827D0"/>
    <w:rsid w:val="4ADC4411"/>
    <w:rsid w:val="4AE051E1"/>
    <w:rsid w:val="4AFB026D"/>
    <w:rsid w:val="4AFF6B7C"/>
    <w:rsid w:val="4B0E61F2"/>
    <w:rsid w:val="4B2E2169"/>
    <w:rsid w:val="4B2E23F0"/>
    <w:rsid w:val="4B386DCB"/>
    <w:rsid w:val="4B533C05"/>
    <w:rsid w:val="4B5420E6"/>
    <w:rsid w:val="4B6127C6"/>
    <w:rsid w:val="4B674E8A"/>
    <w:rsid w:val="4B8B339F"/>
    <w:rsid w:val="4B9A1834"/>
    <w:rsid w:val="4BC34D4C"/>
    <w:rsid w:val="4BCD1C09"/>
    <w:rsid w:val="4BF03B4A"/>
    <w:rsid w:val="4BF1102F"/>
    <w:rsid w:val="4C17528F"/>
    <w:rsid w:val="4C1909E5"/>
    <w:rsid w:val="4C253769"/>
    <w:rsid w:val="4C5A3BDF"/>
    <w:rsid w:val="4C5F55D3"/>
    <w:rsid w:val="4C783191"/>
    <w:rsid w:val="4C802780"/>
    <w:rsid w:val="4C8E7F83"/>
    <w:rsid w:val="4CAE37E9"/>
    <w:rsid w:val="4CBC0F4E"/>
    <w:rsid w:val="4CEA60AE"/>
    <w:rsid w:val="4D1627F0"/>
    <w:rsid w:val="4D1B4BF6"/>
    <w:rsid w:val="4D2717ED"/>
    <w:rsid w:val="4D2B5846"/>
    <w:rsid w:val="4D3B4592"/>
    <w:rsid w:val="4D5D3867"/>
    <w:rsid w:val="4D810EFD"/>
    <w:rsid w:val="4DA644C0"/>
    <w:rsid w:val="4DA93FB0"/>
    <w:rsid w:val="4DAC0DBD"/>
    <w:rsid w:val="4DBC4B9D"/>
    <w:rsid w:val="4DC62DB4"/>
    <w:rsid w:val="4DCF7EBB"/>
    <w:rsid w:val="4DD570B0"/>
    <w:rsid w:val="4DDC695C"/>
    <w:rsid w:val="4DDE296A"/>
    <w:rsid w:val="4E0324CF"/>
    <w:rsid w:val="4E0B4C6B"/>
    <w:rsid w:val="4E257ADB"/>
    <w:rsid w:val="4E316018"/>
    <w:rsid w:val="4E345F70"/>
    <w:rsid w:val="4E3715BC"/>
    <w:rsid w:val="4E6600F3"/>
    <w:rsid w:val="4E6C1DDD"/>
    <w:rsid w:val="4E6D1482"/>
    <w:rsid w:val="4E77495B"/>
    <w:rsid w:val="4EB90223"/>
    <w:rsid w:val="4EF47204"/>
    <w:rsid w:val="4EFD0A57"/>
    <w:rsid w:val="4F1B38F5"/>
    <w:rsid w:val="4F2F6737"/>
    <w:rsid w:val="4F337FD5"/>
    <w:rsid w:val="4F457D08"/>
    <w:rsid w:val="4F466907"/>
    <w:rsid w:val="4F506DD9"/>
    <w:rsid w:val="4F6E29AE"/>
    <w:rsid w:val="4F701229"/>
    <w:rsid w:val="4F7D3946"/>
    <w:rsid w:val="4F9071D6"/>
    <w:rsid w:val="4FC11A85"/>
    <w:rsid w:val="4FC84C58"/>
    <w:rsid w:val="4FFF435B"/>
    <w:rsid w:val="50107DFF"/>
    <w:rsid w:val="503D4825"/>
    <w:rsid w:val="50760AC1"/>
    <w:rsid w:val="50792360"/>
    <w:rsid w:val="50795EBC"/>
    <w:rsid w:val="50854860"/>
    <w:rsid w:val="508E7402"/>
    <w:rsid w:val="50B92BBB"/>
    <w:rsid w:val="50C23D07"/>
    <w:rsid w:val="50CD4459"/>
    <w:rsid w:val="50D77086"/>
    <w:rsid w:val="50D93059"/>
    <w:rsid w:val="50E278DA"/>
    <w:rsid w:val="510438B8"/>
    <w:rsid w:val="5107796B"/>
    <w:rsid w:val="511107EA"/>
    <w:rsid w:val="511B51C5"/>
    <w:rsid w:val="512B5BAA"/>
    <w:rsid w:val="512C73D2"/>
    <w:rsid w:val="512D5D8F"/>
    <w:rsid w:val="512F0C70"/>
    <w:rsid w:val="513F5357"/>
    <w:rsid w:val="515B17CF"/>
    <w:rsid w:val="516134F2"/>
    <w:rsid w:val="51623017"/>
    <w:rsid w:val="51766725"/>
    <w:rsid w:val="51786173"/>
    <w:rsid w:val="51832493"/>
    <w:rsid w:val="51842D6A"/>
    <w:rsid w:val="51932FAD"/>
    <w:rsid w:val="51AC3975"/>
    <w:rsid w:val="51B11685"/>
    <w:rsid w:val="51B121F9"/>
    <w:rsid w:val="51B811A5"/>
    <w:rsid w:val="51BA03BC"/>
    <w:rsid w:val="51C55131"/>
    <w:rsid w:val="51D27F79"/>
    <w:rsid w:val="51DB0B9F"/>
    <w:rsid w:val="51E84156"/>
    <w:rsid w:val="520573DE"/>
    <w:rsid w:val="520914C1"/>
    <w:rsid w:val="52116147"/>
    <w:rsid w:val="52120376"/>
    <w:rsid w:val="52374280"/>
    <w:rsid w:val="52412A09"/>
    <w:rsid w:val="524F1749"/>
    <w:rsid w:val="527C7EE5"/>
    <w:rsid w:val="528079D5"/>
    <w:rsid w:val="52943481"/>
    <w:rsid w:val="529C0587"/>
    <w:rsid w:val="52A01E26"/>
    <w:rsid w:val="52A1597E"/>
    <w:rsid w:val="52A64F62"/>
    <w:rsid w:val="52A87A96"/>
    <w:rsid w:val="52BB09AC"/>
    <w:rsid w:val="52BC6534"/>
    <w:rsid w:val="52BE405A"/>
    <w:rsid w:val="52D94272"/>
    <w:rsid w:val="530D41D3"/>
    <w:rsid w:val="531B14AC"/>
    <w:rsid w:val="532F6A37"/>
    <w:rsid w:val="53383097"/>
    <w:rsid w:val="53400F13"/>
    <w:rsid w:val="53426B64"/>
    <w:rsid w:val="539A143D"/>
    <w:rsid w:val="53D34E45"/>
    <w:rsid w:val="53E56E0F"/>
    <w:rsid w:val="53ED2E90"/>
    <w:rsid w:val="54204E31"/>
    <w:rsid w:val="544E5094"/>
    <w:rsid w:val="54522687"/>
    <w:rsid w:val="547C41CC"/>
    <w:rsid w:val="547E6196"/>
    <w:rsid w:val="547F3CBD"/>
    <w:rsid w:val="548C4AB5"/>
    <w:rsid w:val="54E87AB4"/>
    <w:rsid w:val="54F503EE"/>
    <w:rsid w:val="550F0D77"/>
    <w:rsid w:val="551C775D"/>
    <w:rsid w:val="55200E06"/>
    <w:rsid w:val="55244534"/>
    <w:rsid w:val="558B5CC3"/>
    <w:rsid w:val="558D3088"/>
    <w:rsid w:val="55A0723D"/>
    <w:rsid w:val="55A734CB"/>
    <w:rsid w:val="55BA1450"/>
    <w:rsid w:val="55C51BA3"/>
    <w:rsid w:val="55CC2F32"/>
    <w:rsid w:val="55EB160A"/>
    <w:rsid w:val="5615300B"/>
    <w:rsid w:val="5639752B"/>
    <w:rsid w:val="565A678F"/>
    <w:rsid w:val="568B3D3E"/>
    <w:rsid w:val="568D26C1"/>
    <w:rsid w:val="56D20415"/>
    <w:rsid w:val="56D4168A"/>
    <w:rsid w:val="56E84CE1"/>
    <w:rsid w:val="56FF36D3"/>
    <w:rsid w:val="57047335"/>
    <w:rsid w:val="5724078D"/>
    <w:rsid w:val="57275FD6"/>
    <w:rsid w:val="57342B3C"/>
    <w:rsid w:val="573F7E85"/>
    <w:rsid w:val="57450826"/>
    <w:rsid w:val="57470AD9"/>
    <w:rsid w:val="574C7C2D"/>
    <w:rsid w:val="57697304"/>
    <w:rsid w:val="576F51BE"/>
    <w:rsid w:val="577C5A7F"/>
    <w:rsid w:val="57A75A04"/>
    <w:rsid w:val="57B3774D"/>
    <w:rsid w:val="57B40121"/>
    <w:rsid w:val="57BF4582"/>
    <w:rsid w:val="57C2639A"/>
    <w:rsid w:val="57C45DB4"/>
    <w:rsid w:val="57EA3DC6"/>
    <w:rsid w:val="57F93D32"/>
    <w:rsid w:val="57FE1BA3"/>
    <w:rsid w:val="581D36D0"/>
    <w:rsid w:val="58254E5C"/>
    <w:rsid w:val="582C415B"/>
    <w:rsid w:val="58515970"/>
    <w:rsid w:val="586A6F7C"/>
    <w:rsid w:val="586E1686"/>
    <w:rsid w:val="58767185"/>
    <w:rsid w:val="58892BEE"/>
    <w:rsid w:val="588C69A8"/>
    <w:rsid w:val="588F6A06"/>
    <w:rsid w:val="589D0547"/>
    <w:rsid w:val="58B5125F"/>
    <w:rsid w:val="58C919AA"/>
    <w:rsid w:val="58DA5965"/>
    <w:rsid w:val="58F5279F"/>
    <w:rsid w:val="58FE0204"/>
    <w:rsid w:val="590F1B78"/>
    <w:rsid w:val="59162131"/>
    <w:rsid w:val="592661AA"/>
    <w:rsid w:val="59342E85"/>
    <w:rsid w:val="59526FF3"/>
    <w:rsid w:val="595B71C9"/>
    <w:rsid w:val="595E27CE"/>
    <w:rsid w:val="59736972"/>
    <w:rsid w:val="597D4C6F"/>
    <w:rsid w:val="598B6C60"/>
    <w:rsid w:val="598D4786"/>
    <w:rsid w:val="59914276"/>
    <w:rsid w:val="59BD150F"/>
    <w:rsid w:val="59DD395F"/>
    <w:rsid w:val="59E051FD"/>
    <w:rsid w:val="5A183FED"/>
    <w:rsid w:val="5A42686F"/>
    <w:rsid w:val="5A4B368B"/>
    <w:rsid w:val="5A53777D"/>
    <w:rsid w:val="5A6B0F6B"/>
    <w:rsid w:val="5A871B1D"/>
    <w:rsid w:val="5A8E07B6"/>
    <w:rsid w:val="5A9A07E3"/>
    <w:rsid w:val="5AB75F5E"/>
    <w:rsid w:val="5ACB7C5C"/>
    <w:rsid w:val="5AD22D98"/>
    <w:rsid w:val="5AD36B10"/>
    <w:rsid w:val="5AD76600"/>
    <w:rsid w:val="5AF44B98"/>
    <w:rsid w:val="5B0378C8"/>
    <w:rsid w:val="5B0F0EA8"/>
    <w:rsid w:val="5B243033"/>
    <w:rsid w:val="5B2630E4"/>
    <w:rsid w:val="5B393D25"/>
    <w:rsid w:val="5B3A09D9"/>
    <w:rsid w:val="5B411CCC"/>
    <w:rsid w:val="5B49695D"/>
    <w:rsid w:val="5B506217"/>
    <w:rsid w:val="5B537302"/>
    <w:rsid w:val="5B6E7605"/>
    <w:rsid w:val="5BAA18FB"/>
    <w:rsid w:val="5BB93D2F"/>
    <w:rsid w:val="5BC85F49"/>
    <w:rsid w:val="5BDF3F59"/>
    <w:rsid w:val="5BFD2097"/>
    <w:rsid w:val="5BFD612E"/>
    <w:rsid w:val="5BFE7562"/>
    <w:rsid w:val="5C1F4BBA"/>
    <w:rsid w:val="5C227971"/>
    <w:rsid w:val="5C3D36B7"/>
    <w:rsid w:val="5C67511D"/>
    <w:rsid w:val="5C7B120D"/>
    <w:rsid w:val="5C7C23A3"/>
    <w:rsid w:val="5C9E434D"/>
    <w:rsid w:val="5CAB6D86"/>
    <w:rsid w:val="5CC130C4"/>
    <w:rsid w:val="5CC22998"/>
    <w:rsid w:val="5D0D76CC"/>
    <w:rsid w:val="5D1038B1"/>
    <w:rsid w:val="5D107BA8"/>
    <w:rsid w:val="5D335644"/>
    <w:rsid w:val="5D364BA9"/>
    <w:rsid w:val="5D415FB3"/>
    <w:rsid w:val="5D4A130C"/>
    <w:rsid w:val="5D5C103F"/>
    <w:rsid w:val="5D5E4DB7"/>
    <w:rsid w:val="5D694C13"/>
    <w:rsid w:val="5D6F2B20"/>
    <w:rsid w:val="5D720862"/>
    <w:rsid w:val="5D755FDB"/>
    <w:rsid w:val="5D997FF2"/>
    <w:rsid w:val="5D9F58A7"/>
    <w:rsid w:val="5DA66801"/>
    <w:rsid w:val="5DA927C9"/>
    <w:rsid w:val="5DB04EE7"/>
    <w:rsid w:val="5DD60DF1"/>
    <w:rsid w:val="5DE3706A"/>
    <w:rsid w:val="5DE660DC"/>
    <w:rsid w:val="5E01470F"/>
    <w:rsid w:val="5E553465"/>
    <w:rsid w:val="5E79352B"/>
    <w:rsid w:val="5E930A90"/>
    <w:rsid w:val="5EAE58CA"/>
    <w:rsid w:val="5EBD1A1C"/>
    <w:rsid w:val="5EE3194F"/>
    <w:rsid w:val="5EF05EE3"/>
    <w:rsid w:val="5EF121ED"/>
    <w:rsid w:val="5F031375"/>
    <w:rsid w:val="5F066AD1"/>
    <w:rsid w:val="5F39021E"/>
    <w:rsid w:val="5F4A1345"/>
    <w:rsid w:val="5F7609E4"/>
    <w:rsid w:val="5F772160"/>
    <w:rsid w:val="5FA12D39"/>
    <w:rsid w:val="5FDE21DF"/>
    <w:rsid w:val="5FE031E6"/>
    <w:rsid w:val="5FE93206"/>
    <w:rsid w:val="5FFB79C4"/>
    <w:rsid w:val="5FFE29B9"/>
    <w:rsid w:val="603A321B"/>
    <w:rsid w:val="60591866"/>
    <w:rsid w:val="60636240"/>
    <w:rsid w:val="60897053"/>
    <w:rsid w:val="60936B26"/>
    <w:rsid w:val="609D481C"/>
    <w:rsid w:val="60A30D33"/>
    <w:rsid w:val="60AF592A"/>
    <w:rsid w:val="60B22372"/>
    <w:rsid w:val="60B62814"/>
    <w:rsid w:val="60BC0B6F"/>
    <w:rsid w:val="60C70EC5"/>
    <w:rsid w:val="60D00282"/>
    <w:rsid w:val="60E05AE3"/>
    <w:rsid w:val="60F8107F"/>
    <w:rsid w:val="61212EBE"/>
    <w:rsid w:val="61291238"/>
    <w:rsid w:val="614B38A4"/>
    <w:rsid w:val="618439BB"/>
    <w:rsid w:val="61870A43"/>
    <w:rsid w:val="61C3168D"/>
    <w:rsid w:val="61CD250B"/>
    <w:rsid w:val="61CE4AE0"/>
    <w:rsid w:val="61DA0784"/>
    <w:rsid w:val="61E241E7"/>
    <w:rsid w:val="61E418EE"/>
    <w:rsid w:val="61E57F97"/>
    <w:rsid w:val="61F623AC"/>
    <w:rsid w:val="620C16C7"/>
    <w:rsid w:val="62193481"/>
    <w:rsid w:val="623065F6"/>
    <w:rsid w:val="623973BF"/>
    <w:rsid w:val="623B56C7"/>
    <w:rsid w:val="62410803"/>
    <w:rsid w:val="626A5FAC"/>
    <w:rsid w:val="6271733B"/>
    <w:rsid w:val="62782477"/>
    <w:rsid w:val="627B3813"/>
    <w:rsid w:val="628A3F58"/>
    <w:rsid w:val="629152E7"/>
    <w:rsid w:val="62B13454"/>
    <w:rsid w:val="62B72874"/>
    <w:rsid w:val="62C50C1B"/>
    <w:rsid w:val="62FD1102"/>
    <w:rsid w:val="62FF77F3"/>
    <w:rsid w:val="63035AB9"/>
    <w:rsid w:val="630A73D4"/>
    <w:rsid w:val="632919C3"/>
    <w:rsid w:val="632C3261"/>
    <w:rsid w:val="63333538"/>
    <w:rsid w:val="63556314"/>
    <w:rsid w:val="63657470"/>
    <w:rsid w:val="63A159FD"/>
    <w:rsid w:val="63B44A82"/>
    <w:rsid w:val="63D46A06"/>
    <w:rsid w:val="63E158B2"/>
    <w:rsid w:val="63F35B2D"/>
    <w:rsid w:val="641A130C"/>
    <w:rsid w:val="64202DC6"/>
    <w:rsid w:val="642C65A6"/>
    <w:rsid w:val="644545DB"/>
    <w:rsid w:val="64504D2E"/>
    <w:rsid w:val="6451149D"/>
    <w:rsid w:val="6472739A"/>
    <w:rsid w:val="64742E65"/>
    <w:rsid w:val="648B05D1"/>
    <w:rsid w:val="649B31F2"/>
    <w:rsid w:val="64E169E0"/>
    <w:rsid w:val="65051FBC"/>
    <w:rsid w:val="650D5265"/>
    <w:rsid w:val="651144BD"/>
    <w:rsid w:val="656D7420"/>
    <w:rsid w:val="65711400"/>
    <w:rsid w:val="65846920"/>
    <w:rsid w:val="65C46CD4"/>
    <w:rsid w:val="65E61DBF"/>
    <w:rsid w:val="66245295"/>
    <w:rsid w:val="668F26CF"/>
    <w:rsid w:val="6692440D"/>
    <w:rsid w:val="66B27F22"/>
    <w:rsid w:val="66BF00F7"/>
    <w:rsid w:val="66D73F92"/>
    <w:rsid w:val="66DB2FD4"/>
    <w:rsid w:val="66E14AAB"/>
    <w:rsid w:val="66E815AD"/>
    <w:rsid w:val="670A5668"/>
    <w:rsid w:val="67193AFD"/>
    <w:rsid w:val="67256946"/>
    <w:rsid w:val="67266D57"/>
    <w:rsid w:val="67274D7C"/>
    <w:rsid w:val="677B0234"/>
    <w:rsid w:val="678356D7"/>
    <w:rsid w:val="678418BE"/>
    <w:rsid w:val="67A47216"/>
    <w:rsid w:val="67A96C2F"/>
    <w:rsid w:val="67AE3594"/>
    <w:rsid w:val="681744E0"/>
    <w:rsid w:val="681D761D"/>
    <w:rsid w:val="68264723"/>
    <w:rsid w:val="68477CAF"/>
    <w:rsid w:val="684A23F5"/>
    <w:rsid w:val="685E210F"/>
    <w:rsid w:val="6870599E"/>
    <w:rsid w:val="687C07E7"/>
    <w:rsid w:val="68880ABC"/>
    <w:rsid w:val="6893706C"/>
    <w:rsid w:val="68BF7DB9"/>
    <w:rsid w:val="68E264CD"/>
    <w:rsid w:val="68F37D61"/>
    <w:rsid w:val="68FC557B"/>
    <w:rsid w:val="69194288"/>
    <w:rsid w:val="69217617"/>
    <w:rsid w:val="69230C63"/>
    <w:rsid w:val="69454EDB"/>
    <w:rsid w:val="694E2184"/>
    <w:rsid w:val="695044E6"/>
    <w:rsid w:val="69553E24"/>
    <w:rsid w:val="695C292A"/>
    <w:rsid w:val="69601EB7"/>
    <w:rsid w:val="69A00505"/>
    <w:rsid w:val="69AE49D0"/>
    <w:rsid w:val="69C1443B"/>
    <w:rsid w:val="69C97F64"/>
    <w:rsid w:val="69DD52B6"/>
    <w:rsid w:val="69E55F18"/>
    <w:rsid w:val="69E97BFF"/>
    <w:rsid w:val="6A107DC1"/>
    <w:rsid w:val="6A1B23DD"/>
    <w:rsid w:val="6A2B2D01"/>
    <w:rsid w:val="6A314603"/>
    <w:rsid w:val="6A34256E"/>
    <w:rsid w:val="6A4E7F61"/>
    <w:rsid w:val="6A99742E"/>
    <w:rsid w:val="6AAB53B4"/>
    <w:rsid w:val="6AB04778"/>
    <w:rsid w:val="6AB204F0"/>
    <w:rsid w:val="6ADC41C0"/>
    <w:rsid w:val="6B06339C"/>
    <w:rsid w:val="6B08757A"/>
    <w:rsid w:val="6B0A032C"/>
    <w:rsid w:val="6B0D2DCF"/>
    <w:rsid w:val="6B2036AC"/>
    <w:rsid w:val="6B301415"/>
    <w:rsid w:val="6B3C4C6B"/>
    <w:rsid w:val="6B413622"/>
    <w:rsid w:val="6B51350C"/>
    <w:rsid w:val="6B550286"/>
    <w:rsid w:val="6B5F058B"/>
    <w:rsid w:val="6B713F07"/>
    <w:rsid w:val="6B822BC9"/>
    <w:rsid w:val="6B9876E6"/>
    <w:rsid w:val="6BAC3191"/>
    <w:rsid w:val="6BBC78C0"/>
    <w:rsid w:val="6BDD334B"/>
    <w:rsid w:val="6C0E3E06"/>
    <w:rsid w:val="6C1B20C5"/>
    <w:rsid w:val="6C1B3E73"/>
    <w:rsid w:val="6C240F7A"/>
    <w:rsid w:val="6C2C6080"/>
    <w:rsid w:val="6C427652"/>
    <w:rsid w:val="6C47110C"/>
    <w:rsid w:val="6C564FAB"/>
    <w:rsid w:val="6C655B75"/>
    <w:rsid w:val="6C6B28B9"/>
    <w:rsid w:val="6C6C1736"/>
    <w:rsid w:val="6C8A2DB6"/>
    <w:rsid w:val="6D0320AA"/>
    <w:rsid w:val="6D050DAB"/>
    <w:rsid w:val="6D193C8F"/>
    <w:rsid w:val="6D3276C6"/>
    <w:rsid w:val="6D394EF9"/>
    <w:rsid w:val="6D415210"/>
    <w:rsid w:val="6D54763D"/>
    <w:rsid w:val="6D9B34BE"/>
    <w:rsid w:val="6DE7578B"/>
    <w:rsid w:val="6E065A2C"/>
    <w:rsid w:val="6E1A0886"/>
    <w:rsid w:val="6E224D0B"/>
    <w:rsid w:val="6E2443BE"/>
    <w:rsid w:val="6E2A65EF"/>
    <w:rsid w:val="6E2C47C6"/>
    <w:rsid w:val="6E3D3472"/>
    <w:rsid w:val="6E5B2C4D"/>
    <w:rsid w:val="6E5F273D"/>
    <w:rsid w:val="6E713195"/>
    <w:rsid w:val="6E8201DA"/>
    <w:rsid w:val="6E9817AB"/>
    <w:rsid w:val="6E9B2BD2"/>
    <w:rsid w:val="6EA41D01"/>
    <w:rsid w:val="6EAE0FCF"/>
    <w:rsid w:val="6EB74327"/>
    <w:rsid w:val="6EC14DFB"/>
    <w:rsid w:val="6EC30F1E"/>
    <w:rsid w:val="6ED034E4"/>
    <w:rsid w:val="6ED053E9"/>
    <w:rsid w:val="6EDC2E84"/>
    <w:rsid w:val="6EF81415"/>
    <w:rsid w:val="6F034FC9"/>
    <w:rsid w:val="6F09453C"/>
    <w:rsid w:val="6F1B7F8D"/>
    <w:rsid w:val="6F5318A2"/>
    <w:rsid w:val="6F563B40"/>
    <w:rsid w:val="6F6042B9"/>
    <w:rsid w:val="6F7329C7"/>
    <w:rsid w:val="6F8C7562"/>
    <w:rsid w:val="6F92269E"/>
    <w:rsid w:val="6FA172D0"/>
    <w:rsid w:val="6FB2689C"/>
    <w:rsid w:val="6FC0720B"/>
    <w:rsid w:val="6FCA1E38"/>
    <w:rsid w:val="70135C4E"/>
    <w:rsid w:val="70177B5B"/>
    <w:rsid w:val="701C0B7D"/>
    <w:rsid w:val="701D01BA"/>
    <w:rsid w:val="7020414E"/>
    <w:rsid w:val="702F7EED"/>
    <w:rsid w:val="70381498"/>
    <w:rsid w:val="7040659E"/>
    <w:rsid w:val="70741DA4"/>
    <w:rsid w:val="70A712A8"/>
    <w:rsid w:val="70CC1BE0"/>
    <w:rsid w:val="70CD6084"/>
    <w:rsid w:val="70E02CB6"/>
    <w:rsid w:val="71042289"/>
    <w:rsid w:val="710643AC"/>
    <w:rsid w:val="71123A97"/>
    <w:rsid w:val="712E4649"/>
    <w:rsid w:val="71573B9F"/>
    <w:rsid w:val="715F051F"/>
    <w:rsid w:val="716D5171"/>
    <w:rsid w:val="718567F7"/>
    <w:rsid w:val="71956476"/>
    <w:rsid w:val="71A2797C"/>
    <w:rsid w:val="71DC40A5"/>
    <w:rsid w:val="724D0AFE"/>
    <w:rsid w:val="72561A63"/>
    <w:rsid w:val="726245AA"/>
    <w:rsid w:val="72702BB4"/>
    <w:rsid w:val="727774C2"/>
    <w:rsid w:val="728409C4"/>
    <w:rsid w:val="72872F3C"/>
    <w:rsid w:val="728C2277"/>
    <w:rsid w:val="729D3834"/>
    <w:rsid w:val="72A46970"/>
    <w:rsid w:val="72D57472"/>
    <w:rsid w:val="72DB435C"/>
    <w:rsid w:val="72DB6AFF"/>
    <w:rsid w:val="72DF2DCC"/>
    <w:rsid w:val="72E17BC5"/>
    <w:rsid w:val="72E80AD4"/>
    <w:rsid w:val="72E94CCB"/>
    <w:rsid w:val="72FD7A30"/>
    <w:rsid w:val="73050A5D"/>
    <w:rsid w:val="730D09BA"/>
    <w:rsid w:val="731004AA"/>
    <w:rsid w:val="733028FA"/>
    <w:rsid w:val="73312F49"/>
    <w:rsid w:val="73377159"/>
    <w:rsid w:val="735935F3"/>
    <w:rsid w:val="735D1B9F"/>
    <w:rsid w:val="735E1215"/>
    <w:rsid w:val="73702CF6"/>
    <w:rsid w:val="737E18B7"/>
    <w:rsid w:val="739509AF"/>
    <w:rsid w:val="73A3131E"/>
    <w:rsid w:val="73B53097"/>
    <w:rsid w:val="73B63EB1"/>
    <w:rsid w:val="73C33969"/>
    <w:rsid w:val="73D02B91"/>
    <w:rsid w:val="73DC62CA"/>
    <w:rsid w:val="743045FE"/>
    <w:rsid w:val="743C0E2B"/>
    <w:rsid w:val="7456013E"/>
    <w:rsid w:val="74602D6B"/>
    <w:rsid w:val="74665CE0"/>
    <w:rsid w:val="749B0247"/>
    <w:rsid w:val="74AF3400"/>
    <w:rsid w:val="74D1530B"/>
    <w:rsid w:val="74DF33F1"/>
    <w:rsid w:val="74ED7B9B"/>
    <w:rsid w:val="75023E22"/>
    <w:rsid w:val="75222534"/>
    <w:rsid w:val="7523685B"/>
    <w:rsid w:val="754227F4"/>
    <w:rsid w:val="75500E62"/>
    <w:rsid w:val="75622B13"/>
    <w:rsid w:val="7566705A"/>
    <w:rsid w:val="757027E4"/>
    <w:rsid w:val="757647B2"/>
    <w:rsid w:val="75874327"/>
    <w:rsid w:val="75A7202B"/>
    <w:rsid w:val="75AF3FAA"/>
    <w:rsid w:val="75CF2D53"/>
    <w:rsid w:val="75CF35AF"/>
    <w:rsid w:val="75D42F82"/>
    <w:rsid w:val="75D752AF"/>
    <w:rsid w:val="75F95225"/>
    <w:rsid w:val="75FF6418"/>
    <w:rsid w:val="76124539"/>
    <w:rsid w:val="762B5982"/>
    <w:rsid w:val="76684159"/>
    <w:rsid w:val="76746FA2"/>
    <w:rsid w:val="768E2522"/>
    <w:rsid w:val="769B4C95"/>
    <w:rsid w:val="76B37ACA"/>
    <w:rsid w:val="76B543DB"/>
    <w:rsid w:val="76C515AB"/>
    <w:rsid w:val="76D970C1"/>
    <w:rsid w:val="76E61C4D"/>
    <w:rsid w:val="76EC08E6"/>
    <w:rsid w:val="76F1414E"/>
    <w:rsid w:val="772949E2"/>
    <w:rsid w:val="774D3A7A"/>
    <w:rsid w:val="775D7A36"/>
    <w:rsid w:val="7772528F"/>
    <w:rsid w:val="77732DB5"/>
    <w:rsid w:val="777F175A"/>
    <w:rsid w:val="77801BA5"/>
    <w:rsid w:val="77974CF6"/>
    <w:rsid w:val="7797547A"/>
    <w:rsid w:val="77DA4BE2"/>
    <w:rsid w:val="77E51F05"/>
    <w:rsid w:val="77FD1CC3"/>
    <w:rsid w:val="781F4D3B"/>
    <w:rsid w:val="783C589D"/>
    <w:rsid w:val="78564912"/>
    <w:rsid w:val="78654665"/>
    <w:rsid w:val="787341C2"/>
    <w:rsid w:val="78B33DB1"/>
    <w:rsid w:val="78C22E14"/>
    <w:rsid w:val="78CA2EA9"/>
    <w:rsid w:val="78E068EC"/>
    <w:rsid w:val="78F13B18"/>
    <w:rsid w:val="78F35D2F"/>
    <w:rsid w:val="791E7E8F"/>
    <w:rsid w:val="79254583"/>
    <w:rsid w:val="793B1F88"/>
    <w:rsid w:val="794013BD"/>
    <w:rsid w:val="795F5CE7"/>
    <w:rsid w:val="796C52FC"/>
    <w:rsid w:val="79703A50"/>
    <w:rsid w:val="797057FE"/>
    <w:rsid w:val="797C23F5"/>
    <w:rsid w:val="79A157D2"/>
    <w:rsid w:val="79A84CF6"/>
    <w:rsid w:val="79AE4579"/>
    <w:rsid w:val="79DC10E6"/>
    <w:rsid w:val="79E23DAD"/>
    <w:rsid w:val="79EF418D"/>
    <w:rsid w:val="79F93A46"/>
    <w:rsid w:val="7A0B7BCF"/>
    <w:rsid w:val="7A342CD0"/>
    <w:rsid w:val="7A49604F"/>
    <w:rsid w:val="7A9674E6"/>
    <w:rsid w:val="7AA339B1"/>
    <w:rsid w:val="7AA9525F"/>
    <w:rsid w:val="7AC43970"/>
    <w:rsid w:val="7AD46261"/>
    <w:rsid w:val="7AD65B35"/>
    <w:rsid w:val="7AE157B2"/>
    <w:rsid w:val="7AF91AC4"/>
    <w:rsid w:val="7B0A1C83"/>
    <w:rsid w:val="7B1826D6"/>
    <w:rsid w:val="7B3F62EE"/>
    <w:rsid w:val="7B4038F6"/>
    <w:rsid w:val="7B434FC5"/>
    <w:rsid w:val="7B6C391B"/>
    <w:rsid w:val="7B765BDB"/>
    <w:rsid w:val="7B7B7A07"/>
    <w:rsid w:val="7B7F441F"/>
    <w:rsid w:val="7B811F45"/>
    <w:rsid w:val="7B86208C"/>
    <w:rsid w:val="7B984886"/>
    <w:rsid w:val="7BB32FD6"/>
    <w:rsid w:val="7BB71B68"/>
    <w:rsid w:val="7BB8348D"/>
    <w:rsid w:val="7BBF3F84"/>
    <w:rsid w:val="7BDA5710"/>
    <w:rsid w:val="7BEF717B"/>
    <w:rsid w:val="7BFF6F2A"/>
    <w:rsid w:val="7C030722"/>
    <w:rsid w:val="7C0B6344"/>
    <w:rsid w:val="7C1E59E5"/>
    <w:rsid w:val="7C264C3C"/>
    <w:rsid w:val="7C3D05FE"/>
    <w:rsid w:val="7C550AD0"/>
    <w:rsid w:val="7C574A54"/>
    <w:rsid w:val="7C62373C"/>
    <w:rsid w:val="7C67325F"/>
    <w:rsid w:val="7C9B5288"/>
    <w:rsid w:val="7CAD0B17"/>
    <w:rsid w:val="7CC320E9"/>
    <w:rsid w:val="7CC74564"/>
    <w:rsid w:val="7CCA4A02"/>
    <w:rsid w:val="7CD73F36"/>
    <w:rsid w:val="7CE309DD"/>
    <w:rsid w:val="7CE514ED"/>
    <w:rsid w:val="7CF90201"/>
    <w:rsid w:val="7D1961AD"/>
    <w:rsid w:val="7D3134F6"/>
    <w:rsid w:val="7D387E16"/>
    <w:rsid w:val="7D580A83"/>
    <w:rsid w:val="7D586CD5"/>
    <w:rsid w:val="7D683C75"/>
    <w:rsid w:val="7D7333FF"/>
    <w:rsid w:val="7D8201F6"/>
    <w:rsid w:val="7D86298E"/>
    <w:rsid w:val="7D8B09EC"/>
    <w:rsid w:val="7DB00B53"/>
    <w:rsid w:val="7DB06B11"/>
    <w:rsid w:val="7DC223A1"/>
    <w:rsid w:val="7DC51E91"/>
    <w:rsid w:val="7DE231F7"/>
    <w:rsid w:val="7DF1477A"/>
    <w:rsid w:val="7DF2712A"/>
    <w:rsid w:val="7DFF53A3"/>
    <w:rsid w:val="7E0E55E6"/>
    <w:rsid w:val="7E105802"/>
    <w:rsid w:val="7E15247E"/>
    <w:rsid w:val="7E307AF7"/>
    <w:rsid w:val="7E342C81"/>
    <w:rsid w:val="7E3875AC"/>
    <w:rsid w:val="7E5F4018"/>
    <w:rsid w:val="7E6B42CE"/>
    <w:rsid w:val="7E775881"/>
    <w:rsid w:val="7E7B4923"/>
    <w:rsid w:val="7E7F64E4"/>
    <w:rsid w:val="7EA23005"/>
    <w:rsid w:val="7EAD5029"/>
    <w:rsid w:val="7EB22415"/>
    <w:rsid w:val="7EBE0DBA"/>
    <w:rsid w:val="7EE84089"/>
    <w:rsid w:val="7F0B7D77"/>
    <w:rsid w:val="7F3D6616"/>
    <w:rsid w:val="7F460DAF"/>
    <w:rsid w:val="7F525008"/>
    <w:rsid w:val="7F89406B"/>
    <w:rsid w:val="7F8F7AD3"/>
    <w:rsid w:val="7FAA57E2"/>
    <w:rsid w:val="7FC22B2C"/>
    <w:rsid w:val="7FE35D35"/>
    <w:rsid w:val="7FFA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120" w:after="120" w:line="360" w:lineRule="auto"/>
      <w:outlineLvl w:val="2"/>
    </w:pPr>
    <w:rPr>
      <w:b/>
      <w:bCs/>
      <w:sz w:val="28"/>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7"/>
    <w:basedOn w:val="1"/>
    <w:next w:val="1"/>
    <w:qFormat/>
    <w:uiPriority w:val="1"/>
    <w:pPr>
      <w:spacing w:before="2"/>
      <w:ind w:left="692"/>
      <w:outlineLvl w:val="6"/>
    </w:pPr>
    <w:rPr>
      <w:rFonts w:ascii="仿宋" w:hAnsi="仿宋" w:eastAsia="仿宋" w:cs="仿宋"/>
      <w:b/>
      <w:bCs/>
      <w:sz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8">
    <w:name w:val="index 8"/>
    <w:basedOn w:val="1"/>
    <w:next w:val="1"/>
    <w:qFormat/>
    <w:uiPriority w:val="99"/>
    <w:pPr>
      <w:spacing w:line="276" w:lineRule="auto"/>
      <w:jc w:val="left"/>
    </w:pPr>
    <w:rPr>
      <w:rFonts w:ascii="宋体" w:hAnsi="宋体"/>
      <w:color w:val="FF0000"/>
      <w:szCs w:val="21"/>
    </w:rPr>
  </w:style>
  <w:style w:type="paragraph" w:styleId="9">
    <w:name w:val="Normal Indent"/>
    <w:basedOn w:val="1"/>
    <w:qFormat/>
    <w:uiPriority w:val="0"/>
    <w:pPr>
      <w:spacing w:line="276" w:lineRule="auto"/>
      <w:ind w:firstLine="420" w:firstLineChars="200"/>
    </w:pPr>
    <w:rPr>
      <w:rFonts w:ascii="Calibri" w:hAnsi="Calibri"/>
      <w:szCs w:val="21"/>
    </w:rPr>
  </w:style>
  <w:style w:type="paragraph" w:styleId="10">
    <w:name w:val="annotation text"/>
    <w:basedOn w:val="1"/>
    <w:qFormat/>
    <w:uiPriority w:val="0"/>
    <w:pPr>
      <w:jc w:val="left"/>
    </w:pPr>
  </w:style>
  <w:style w:type="paragraph" w:styleId="11">
    <w:name w:val="Plain Text"/>
    <w:basedOn w:val="1"/>
    <w:next w:val="1"/>
    <w:qFormat/>
    <w:uiPriority w:val="0"/>
    <w:pPr>
      <w:autoSpaceDE w:val="0"/>
      <w:autoSpaceDN w:val="0"/>
      <w:adjustRightInd w:val="0"/>
    </w:pPr>
    <w:rPr>
      <w:rFonts w:ascii="宋体" w:hAnsi="Tms Rmn"/>
      <w:kern w:val="0"/>
      <w:szCs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5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7">
    <w:name w:val="Normal (Web)"/>
    <w:basedOn w:val="1"/>
    <w:qFormat/>
    <w:uiPriority w:val="0"/>
    <w:pPr>
      <w:widowControl/>
      <w:spacing w:before="100" w:beforeAutospacing="1" w:after="100" w:afterAutospacing="1"/>
      <w:jc w:val="left"/>
    </w:pPr>
    <w:rPr>
      <w:rFonts w:ascii="宋体"/>
      <w:kern w:val="0"/>
      <w:sz w:val="18"/>
      <w:szCs w:val="18"/>
    </w:rPr>
  </w:style>
  <w:style w:type="paragraph" w:styleId="18">
    <w:name w:val="Body Text First Indent"/>
    <w:basedOn w:val="2"/>
    <w:qFormat/>
    <w:uiPriority w:val="0"/>
    <w:pPr>
      <w:ind w:firstLine="420" w:firstLineChars="100"/>
    </w:pPr>
  </w:style>
  <w:style w:type="table" w:styleId="20">
    <w:name w:val="Table Grid"/>
    <w:basedOn w:val="1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basedOn w:val="21"/>
    <w:qFormat/>
    <w:uiPriority w:val="0"/>
    <w:rPr>
      <w:sz w:val="21"/>
      <w:szCs w:val="21"/>
    </w:rPr>
  </w:style>
  <w:style w:type="paragraph" w:customStyle="1" w:styleId="24">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Table Paragraph"/>
    <w:basedOn w:val="1"/>
    <w:qFormat/>
    <w:uiPriority w:val="0"/>
    <w:pPr>
      <w:autoSpaceDE w:val="0"/>
      <w:autoSpaceDN w:val="0"/>
      <w:jc w:val="left"/>
    </w:pPr>
    <w:rPr>
      <w:rFonts w:ascii="宋体" w:hAnsi="宋体" w:cs="宋体"/>
      <w:kern w:val="0"/>
      <w:sz w:val="22"/>
      <w:szCs w:val="22"/>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标题 31"/>
    <w:basedOn w:val="1"/>
    <w:qFormat/>
    <w:uiPriority w:val="0"/>
    <w:pPr>
      <w:autoSpaceDE w:val="0"/>
      <w:autoSpaceDN w:val="0"/>
      <w:spacing w:before="100" w:beforeAutospacing="1" w:after="100" w:afterAutospacing="1"/>
      <w:ind w:left="593"/>
      <w:jc w:val="left"/>
      <w:outlineLvl w:val="3"/>
    </w:pPr>
    <w:rPr>
      <w:rFonts w:ascii="宋体" w:hAnsi="宋体" w:cs="宋体"/>
      <w:b/>
      <w:bCs/>
      <w:kern w:val="0"/>
      <w:sz w:val="24"/>
    </w:rPr>
  </w:style>
  <w:style w:type="paragraph" w:customStyle="1" w:styleId="29">
    <w:name w:val="List Paragraph1"/>
    <w:basedOn w:val="1"/>
    <w:qFormat/>
    <w:uiPriority w:val="0"/>
    <w:pPr>
      <w:autoSpaceDE w:val="0"/>
      <w:autoSpaceDN w:val="0"/>
      <w:spacing w:before="100" w:beforeAutospacing="1" w:after="100" w:afterAutospacing="1"/>
      <w:ind w:left="113" w:firstLine="480"/>
      <w:jc w:val="left"/>
    </w:pPr>
    <w:rPr>
      <w:rFonts w:ascii="宋体" w:hAnsi="宋体" w:cs="宋体"/>
      <w:kern w:val="0"/>
      <w:sz w:val="22"/>
      <w:szCs w:val="22"/>
    </w:rPr>
  </w:style>
  <w:style w:type="paragraph" w:customStyle="1" w:styleId="30">
    <w:name w:val="表格"/>
    <w:basedOn w:val="1"/>
    <w:qFormat/>
    <w:uiPriority w:val="0"/>
    <w:pPr>
      <w:spacing w:line="400" w:lineRule="exact"/>
    </w:pPr>
    <w:rPr>
      <w:sz w:val="24"/>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列表段落1"/>
    <w:basedOn w:val="1"/>
    <w:unhideWhenUsed/>
    <w:qFormat/>
    <w:uiPriority w:val="99"/>
    <w:pPr>
      <w:ind w:firstLine="420" w:firstLineChars="200"/>
    </w:pPr>
  </w:style>
  <w:style w:type="paragraph" w:customStyle="1" w:styleId="34">
    <w:name w:val="文号样式"/>
    <w:basedOn w:val="35"/>
    <w:qFormat/>
    <w:uiPriority w:val="99"/>
    <w:pPr>
      <w:spacing w:after="0"/>
    </w:pPr>
    <w:rPr>
      <w:rFonts w:eastAsia="仿宋_GB2312"/>
      <w:sz w:val="28"/>
    </w:rPr>
  </w:style>
  <w:style w:type="paragraph" w:customStyle="1" w:styleId="35">
    <w:name w:val="文章总标题"/>
    <w:basedOn w:val="1"/>
    <w:qFormat/>
    <w:uiPriority w:val="99"/>
    <w:pPr>
      <w:adjustRightInd w:val="0"/>
      <w:snapToGrid w:val="0"/>
      <w:spacing w:after="360" w:line="240" w:lineRule="atLeast"/>
      <w:jc w:val="center"/>
    </w:pPr>
    <w:rPr>
      <w:rFonts w:eastAsia="黑体"/>
      <w:spacing w:val="8"/>
      <w:kern w:val="0"/>
      <w:sz w:val="36"/>
      <w:szCs w:val="20"/>
    </w:rPr>
  </w:style>
  <w:style w:type="paragraph" w:customStyle="1" w:styleId="36">
    <w:name w:val="正文样式"/>
    <w:basedOn w:val="1"/>
    <w:qFormat/>
    <w:uiPriority w:val="99"/>
    <w:pPr>
      <w:adjustRightInd w:val="0"/>
      <w:snapToGrid w:val="0"/>
      <w:spacing w:before="20" w:after="20" w:line="520" w:lineRule="atLeast"/>
      <w:ind w:firstLine="680"/>
    </w:pPr>
    <w:rPr>
      <w:rFonts w:eastAsia="文鼎CS仿宋体"/>
      <w:spacing w:val="10"/>
      <w:kern w:val="0"/>
      <w:sz w:val="32"/>
      <w:szCs w:val="20"/>
    </w:rPr>
  </w:style>
  <w:style w:type="character" w:customStyle="1" w:styleId="37">
    <w:name w:val="标题 3 字符"/>
    <w:link w:val="5"/>
    <w:qFormat/>
    <w:uiPriority w:val="0"/>
    <w:rPr>
      <w:b/>
      <w:bCs/>
      <w:sz w:val="28"/>
      <w:szCs w:val="32"/>
    </w:rPr>
  </w:style>
  <w:style w:type="paragraph" w:customStyle="1" w:styleId="38">
    <w:name w:val="Table Text"/>
    <w:basedOn w:val="1"/>
    <w:unhideWhenUsed/>
    <w:qFormat/>
    <w:uiPriority w:val="0"/>
    <w:pPr>
      <w:topLinePunct/>
      <w:snapToGrid w:val="0"/>
      <w:spacing w:before="80" w:after="80"/>
      <w:jc w:val="left"/>
    </w:pPr>
    <w:rPr>
      <w:snapToGrid w:val="0"/>
      <w:szCs w:val="22"/>
    </w:rPr>
  </w:style>
  <w:style w:type="paragraph" w:customStyle="1" w:styleId="39">
    <w:name w:val="Item List in Table"/>
    <w:basedOn w:val="1"/>
    <w:unhideWhenUsed/>
    <w:qFormat/>
    <w:uiPriority w:val="0"/>
    <w:pPr>
      <w:widowControl/>
      <w:tabs>
        <w:tab w:val="left" w:pos="170"/>
      </w:tabs>
      <w:topLinePunct/>
      <w:snapToGrid w:val="0"/>
      <w:jc w:val="left"/>
    </w:pPr>
    <w:rPr>
      <w:szCs w:val="22"/>
    </w:rPr>
  </w:style>
  <w:style w:type="character" w:customStyle="1" w:styleId="40">
    <w:name w:val="font41"/>
    <w:basedOn w:val="21"/>
    <w:qFormat/>
    <w:uiPriority w:val="0"/>
    <w:rPr>
      <w:rFonts w:hint="eastAsia" w:ascii="宋体" w:hAnsi="宋体" w:eastAsia="宋体" w:cs="宋体"/>
      <w:b/>
      <w:color w:val="000000"/>
      <w:sz w:val="22"/>
      <w:szCs w:val="22"/>
      <w:u w:val="none"/>
    </w:rPr>
  </w:style>
  <w:style w:type="character" w:customStyle="1" w:styleId="41">
    <w:name w:val="font11"/>
    <w:basedOn w:val="21"/>
    <w:qFormat/>
    <w:locked/>
    <w:uiPriority w:val="99"/>
    <w:rPr>
      <w:rFonts w:ascii="Tahoma" w:hAnsi="Tahoma" w:cs="Tahoma"/>
      <w:color w:val="000000"/>
      <w:sz w:val="22"/>
      <w:szCs w:val="22"/>
      <w:u w:val="none"/>
    </w:rPr>
  </w:style>
  <w:style w:type="character" w:customStyle="1" w:styleId="42">
    <w:name w:val="font31"/>
    <w:basedOn w:val="21"/>
    <w:qFormat/>
    <w:uiPriority w:val="0"/>
    <w:rPr>
      <w:rFonts w:hint="eastAsia" w:ascii="微软雅黑" w:hAnsi="微软雅黑" w:eastAsia="微软雅黑" w:cs="微软雅黑"/>
      <w:color w:val="000000"/>
      <w:sz w:val="18"/>
      <w:szCs w:val="18"/>
      <w:u w:val="none"/>
    </w:rPr>
  </w:style>
  <w:style w:type="paragraph" w:customStyle="1" w:styleId="43">
    <w:name w:val="无间隔1"/>
    <w:next w:val="1"/>
    <w:qFormat/>
    <w:uiPriority w:val="1"/>
    <w:pPr>
      <w:widowControl w:val="0"/>
      <w:spacing w:line="360" w:lineRule="auto"/>
    </w:pPr>
    <w:rPr>
      <w:rFonts w:asciiTheme="minorHAnsi" w:hAnsiTheme="minorHAnsi" w:eastAsiaTheme="minorEastAsia" w:cstheme="minorBidi"/>
      <w:kern w:val="2"/>
      <w:sz w:val="24"/>
      <w:szCs w:val="21"/>
      <w:lang w:val="en-US" w:eastAsia="zh-CN" w:bidi="ar-SA"/>
    </w:rPr>
  </w:style>
  <w:style w:type="paragraph" w:customStyle="1" w:styleId="44">
    <w:name w:val="p1"/>
    <w:basedOn w:val="1"/>
    <w:qFormat/>
    <w:uiPriority w:val="0"/>
    <w:pPr>
      <w:jc w:val="left"/>
    </w:pPr>
    <w:rPr>
      <w:rFonts w:ascii="Helvetica Neue" w:hAnsi="Helvetica Neue" w:eastAsia="Helvetica Neue"/>
      <w:kern w:val="0"/>
      <w:sz w:val="26"/>
      <w:szCs w:val="26"/>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8">
    <w:name w:val="无间隔2"/>
    <w:qFormat/>
    <w:uiPriority w:val="1"/>
    <w:pPr>
      <w:widowControl w:val="0"/>
      <w:jc w:val="both"/>
    </w:pPr>
    <w:rPr>
      <w:rFonts w:ascii="Calibri" w:hAnsi="Calibri" w:eastAsia="宋体" w:cs="Times New Roman"/>
      <w:kern w:val="2"/>
      <w:sz w:val="21"/>
      <w:szCs w:val="22"/>
      <w:lang w:val="en-US" w:eastAsia="zh-CN" w:bidi="ar-SA"/>
    </w:rPr>
  </w:style>
  <w:style w:type="table" w:customStyle="1" w:styleId="49">
    <w:name w:val="网格型1"/>
    <w:basedOn w:val="19"/>
    <w:qFormat/>
    <w:uiPriority w:val="59"/>
    <w:pPr>
      <w:jc w:val="center"/>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51">
    <w:name w:val="font01"/>
    <w:basedOn w:val="21"/>
    <w:qFormat/>
    <w:uiPriority w:val="0"/>
    <w:rPr>
      <w:rFonts w:hint="eastAsia" w:ascii="宋体" w:hAnsi="宋体" w:eastAsia="宋体" w:cs="宋体"/>
      <w:color w:val="000000"/>
      <w:sz w:val="21"/>
      <w:szCs w:val="21"/>
      <w:u w:val="none"/>
    </w:rPr>
  </w:style>
  <w:style w:type="character" w:customStyle="1" w:styleId="52">
    <w:name w:val="font21"/>
    <w:basedOn w:val="21"/>
    <w:qFormat/>
    <w:uiPriority w:val="0"/>
    <w:rPr>
      <w:rFonts w:hint="eastAsia" w:ascii="宋体" w:hAnsi="宋体" w:eastAsia="宋体" w:cs="宋体"/>
      <w:color w:val="000000"/>
      <w:sz w:val="21"/>
      <w:szCs w:val="21"/>
      <w:u w:val="none"/>
    </w:rPr>
  </w:style>
  <w:style w:type="character" w:customStyle="1" w:styleId="53">
    <w:name w:val="批注框文本 字符"/>
    <w:basedOn w:val="21"/>
    <w:link w:val="13"/>
    <w:qFormat/>
    <w:uiPriority w:val="0"/>
    <w:rPr>
      <w:kern w:val="2"/>
      <w:sz w:val="18"/>
      <w:szCs w:val="18"/>
    </w:rPr>
  </w:style>
  <w:style w:type="paragraph" w:customStyle="1" w:styleId="54">
    <w:name w:val="修订3"/>
    <w:hidden/>
    <w:semiHidden/>
    <w:qFormat/>
    <w:uiPriority w:val="99"/>
    <w:rPr>
      <w:rFonts w:ascii="Times New Roman" w:hAnsi="Times New Roman" w:eastAsia="宋体" w:cs="Times New Roman"/>
      <w:kern w:val="2"/>
      <w:sz w:val="21"/>
      <w:szCs w:val="24"/>
      <w:lang w:val="en-US" w:eastAsia="zh-CN" w:bidi="ar-SA"/>
    </w:rPr>
  </w:style>
  <w:style w:type="paragraph" w:styleId="55">
    <w:name w:val="List Paragraph"/>
    <w:basedOn w:val="1"/>
    <w:qFormat/>
    <w:uiPriority w:val="99"/>
    <w:pPr>
      <w:ind w:firstLine="420" w:firstLineChars="200"/>
    </w:pPr>
  </w:style>
  <w:style w:type="paragraph" w:customStyle="1" w:styleId="5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22536</Words>
  <Characters>23358</Characters>
  <Lines>165</Lines>
  <Paragraphs>46</Paragraphs>
  <TotalTime>2</TotalTime>
  <ScaleCrop>false</ScaleCrop>
  <LinksUpToDate>false</LinksUpToDate>
  <CharactersWithSpaces>24571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2022-11-28T06:31:00Z</dcterms:created>
  <dc:creator>Administrator</dc:creator>
  <cp:lastModifiedBy>FLy</cp:lastModifiedBy>
  <cp:lastPrinted>2022-12-07T05:22:00Z</cp:lastPrinted>
  <dcterms:modified xsi:type="dcterms:W3CDTF">2022-12-07T07:45:17Z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513503EBE4D7480B966BE41EE6E2844A</vt:lpwstr>
  </property>
</Properties>
</file>