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ind w:firstLine="883" w:firstLineChars="200"/>
        <w:jc w:val="center"/>
        <w:rPr>
          <w:rFonts w:eastAsia="仿宋_GB2312"/>
          <w:b/>
          <w:bCs/>
          <w:sz w:val="44"/>
          <w:szCs w:val="44"/>
        </w:rPr>
      </w:pPr>
      <w:r>
        <w:rPr>
          <w:rFonts w:eastAsia="仿宋_GB2312"/>
          <w:b/>
          <w:bCs/>
          <w:sz w:val="44"/>
          <w:szCs w:val="44"/>
        </w:rPr>
        <w:t>专项审计业务约定书</w:t>
      </w:r>
    </w:p>
    <w:p>
      <w:pPr>
        <w:adjustRightInd w:val="0"/>
        <w:snapToGrid w:val="0"/>
        <w:spacing w:line="590" w:lineRule="exact"/>
        <w:ind w:firstLine="560" w:firstLineChars="200"/>
        <w:jc w:val="right"/>
        <w:rPr>
          <w:rFonts w:eastAsia="仿宋_GB2312"/>
          <w:sz w:val="28"/>
          <w:szCs w:val="28"/>
        </w:rPr>
      </w:pPr>
      <w:r>
        <w:rPr>
          <w:rFonts w:hint="eastAsia" w:eastAsia="仿宋_GB2312"/>
          <w:sz w:val="28"/>
          <w:szCs w:val="28"/>
        </w:rPr>
        <w:t>合同编号：C</w:t>
      </w:r>
      <w:r>
        <w:rPr>
          <w:rFonts w:eastAsia="仿宋_GB2312"/>
          <w:sz w:val="28"/>
          <w:szCs w:val="28"/>
        </w:rPr>
        <w:t>LJT-SJ-2023-</w:t>
      </w:r>
      <w:r>
        <w:rPr>
          <w:rFonts w:hint="eastAsia" w:eastAsia="仿宋_GB2312"/>
          <w:sz w:val="28"/>
          <w:szCs w:val="28"/>
        </w:rPr>
        <w:t>**</w:t>
      </w:r>
    </w:p>
    <w:p>
      <w:pPr>
        <w:adjustRightInd w:val="0"/>
        <w:snapToGrid w:val="0"/>
        <w:spacing w:line="590" w:lineRule="exact"/>
        <w:ind w:firstLine="640" w:firstLineChars="200"/>
        <w:rPr>
          <w:rFonts w:eastAsia="仿宋_GB2312"/>
          <w:sz w:val="32"/>
          <w:szCs w:val="32"/>
        </w:rPr>
      </w:pPr>
      <w:r>
        <w:rPr>
          <w:rFonts w:eastAsia="仿宋_GB2312"/>
          <w:sz w:val="32"/>
          <w:szCs w:val="32"/>
        </w:rPr>
        <w:t xml:space="preserve">甲方： </w:t>
      </w:r>
      <w:r>
        <w:rPr>
          <w:rFonts w:eastAsia="仿宋_GB2312"/>
          <w:sz w:val="32"/>
          <w:szCs w:val="32"/>
          <w:u w:val="single"/>
        </w:rPr>
        <w:t>成都粮食集团有限公司</w:t>
      </w:r>
    </w:p>
    <w:p>
      <w:pPr>
        <w:adjustRightInd w:val="0"/>
        <w:snapToGrid w:val="0"/>
        <w:spacing w:line="590" w:lineRule="exact"/>
        <w:ind w:firstLine="640" w:firstLineChars="200"/>
        <w:rPr>
          <w:rFonts w:eastAsia="仿宋_GB2312"/>
          <w:sz w:val="32"/>
          <w:szCs w:val="32"/>
        </w:rPr>
      </w:pPr>
      <w:r>
        <w:rPr>
          <w:rFonts w:eastAsia="仿宋_GB2312"/>
          <w:sz w:val="32"/>
          <w:szCs w:val="32"/>
        </w:rPr>
        <w:t xml:space="preserve">乙方： </w:t>
      </w:r>
      <w:r>
        <w:rPr>
          <w:rFonts w:hint="eastAsia" w:eastAsia="仿宋_GB2312"/>
          <w:sz w:val="32"/>
          <w:szCs w:val="32"/>
          <w:u w:val="single"/>
        </w:rPr>
        <w:t xml:space="preserve">                    </w:t>
      </w:r>
    </w:p>
    <w:p>
      <w:pPr>
        <w:adjustRightInd w:val="0"/>
        <w:snapToGrid w:val="0"/>
        <w:spacing w:line="590" w:lineRule="exact"/>
        <w:ind w:firstLine="640" w:firstLineChars="200"/>
        <w:rPr>
          <w:rFonts w:eastAsia="仿宋_GB2312"/>
          <w:sz w:val="32"/>
          <w:szCs w:val="32"/>
        </w:rPr>
      </w:pPr>
      <w:r>
        <w:rPr>
          <w:rFonts w:eastAsia="仿宋_GB2312"/>
          <w:sz w:val="32"/>
          <w:szCs w:val="32"/>
        </w:rPr>
        <w:t>兹由甲方委托乙方</w:t>
      </w:r>
      <w:bookmarkStart w:id="0" w:name="_Hlk133506949"/>
      <w:r>
        <w:rPr>
          <w:rFonts w:hint="eastAsia" w:eastAsia="仿宋_GB2312"/>
          <w:sz w:val="32"/>
          <w:szCs w:val="32"/>
        </w:rPr>
        <w:t>实施</w:t>
      </w:r>
      <w:r>
        <w:rPr>
          <w:rFonts w:eastAsia="仿宋_GB2312"/>
          <w:sz w:val="32"/>
          <w:szCs w:val="32"/>
        </w:rPr>
        <w:t>甲方</w:t>
      </w:r>
      <w:bookmarkEnd w:id="0"/>
      <w:r>
        <w:rPr>
          <w:rFonts w:hint="eastAsia" w:eastAsia="仿宋_GB2312"/>
          <w:sz w:val="32"/>
          <w:szCs w:val="32"/>
        </w:rPr>
        <w:t>所属成都成粮蓉泰供应链管理有限公司（以下简称被审计单位）企业领导人员经济责任审计和存续业务专项审计项目。</w:t>
      </w:r>
      <w:r>
        <w:rPr>
          <w:rFonts w:eastAsia="仿宋_GB2312"/>
          <w:sz w:val="32"/>
          <w:szCs w:val="32"/>
        </w:rPr>
        <w:t>经双方协商，达成以下约定：</w:t>
      </w:r>
    </w:p>
    <w:p>
      <w:pPr>
        <w:adjustRightInd w:val="0"/>
        <w:snapToGrid w:val="0"/>
        <w:spacing w:line="590" w:lineRule="exact"/>
        <w:ind w:firstLine="640" w:firstLineChars="200"/>
        <w:rPr>
          <w:rFonts w:ascii="黑体" w:hAnsi="黑体" w:eastAsia="黑体"/>
          <w:sz w:val="32"/>
          <w:szCs w:val="32"/>
        </w:rPr>
      </w:pPr>
      <w:r>
        <w:rPr>
          <w:rFonts w:ascii="黑体" w:hAnsi="黑体" w:eastAsia="黑体"/>
          <w:sz w:val="32"/>
          <w:szCs w:val="32"/>
        </w:rPr>
        <w:t>一、审计的目标和范围</w:t>
      </w:r>
    </w:p>
    <w:p>
      <w:pPr>
        <w:adjustRightInd w:val="0"/>
        <w:snapToGrid w:val="0"/>
        <w:spacing w:line="590" w:lineRule="exact"/>
        <w:ind w:firstLine="640" w:firstLineChars="200"/>
        <w:rPr>
          <w:rFonts w:eastAsia="仿宋_GB2312"/>
          <w:sz w:val="32"/>
          <w:szCs w:val="32"/>
          <w:u w:val="single"/>
        </w:rPr>
      </w:pPr>
      <w:r>
        <w:rPr>
          <w:rFonts w:eastAsia="仿宋_GB2312"/>
          <w:sz w:val="32"/>
          <w:szCs w:val="32"/>
        </w:rPr>
        <w:t>乙方接受甲方委托，</w:t>
      </w:r>
      <w:r>
        <w:rPr>
          <w:rFonts w:hint="eastAsia" w:eastAsia="仿宋_GB2312"/>
          <w:sz w:val="32"/>
          <w:szCs w:val="32"/>
        </w:rPr>
        <w:t>实施</w:t>
      </w:r>
      <w:r>
        <w:rPr>
          <w:rFonts w:eastAsia="仿宋_GB2312"/>
          <w:sz w:val="32"/>
          <w:szCs w:val="32"/>
          <w:u w:val="single"/>
        </w:rPr>
        <w:t>1.</w:t>
      </w:r>
      <w:r>
        <w:rPr>
          <w:rFonts w:hint="eastAsia" w:eastAsia="仿宋_GB2312"/>
          <w:sz w:val="32"/>
          <w:szCs w:val="32"/>
          <w:u w:val="single"/>
        </w:rPr>
        <w:t>成都成粮蓉泰供应链管理有限公司、原董事长（法定代表人）罗剑骁任期内(2020.2.26-2022.10.18)经济责任审计并出具经责审计报告；2.成都成粮蓉泰供应链管理有限公司存续业务专项审计并出具专项审计及档案归档整理。</w:t>
      </w:r>
    </w:p>
    <w:p>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二、双方责任和义务</w:t>
      </w:r>
    </w:p>
    <w:p>
      <w:pPr>
        <w:adjustRightInd w:val="0"/>
        <w:snapToGrid w:val="0"/>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（一）甲方责任和义务：</w:t>
      </w:r>
    </w:p>
    <w:p>
      <w:pPr>
        <w:adjustRightInd w:val="0"/>
        <w:snapToGrid w:val="0"/>
        <w:spacing w:line="590" w:lineRule="exact"/>
        <w:ind w:firstLine="640" w:firstLineChars="200"/>
        <w:rPr>
          <w:rFonts w:eastAsia="仿宋_GB2312"/>
          <w:sz w:val="32"/>
          <w:szCs w:val="32"/>
        </w:rPr>
      </w:pPr>
      <w:r>
        <w:rPr>
          <w:rFonts w:hint="eastAsia" w:eastAsia="仿宋_GB2312"/>
          <w:sz w:val="32"/>
          <w:szCs w:val="32"/>
        </w:rPr>
        <w:t>1.在审计过程中承担乙方和被审计单位之间有关事项的协调义务，协调被审计单位负责及时提供真实、完整的审计所需资料。</w:t>
      </w:r>
    </w:p>
    <w:p>
      <w:pPr>
        <w:adjustRightInd w:val="0"/>
        <w:snapToGrid w:val="0"/>
        <w:spacing w:line="590" w:lineRule="exact"/>
        <w:ind w:firstLine="640" w:firstLineChars="200"/>
        <w:rPr>
          <w:rFonts w:eastAsia="仿宋_GB2312"/>
          <w:sz w:val="32"/>
          <w:szCs w:val="32"/>
        </w:rPr>
      </w:pPr>
      <w:r>
        <w:rPr>
          <w:rFonts w:hint="eastAsia" w:eastAsia="仿宋_GB2312"/>
          <w:sz w:val="32"/>
          <w:szCs w:val="32"/>
        </w:rPr>
        <w:t>2.确保乙方不受限制地接触与审计有关的记录、文件和所需的其他信息，确保相关人员与乙方的配合。</w:t>
      </w:r>
    </w:p>
    <w:p>
      <w:pPr>
        <w:adjustRightInd w:val="0"/>
        <w:snapToGrid w:val="0"/>
        <w:spacing w:line="590" w:lineRule="exact"/>
        <w:ind w:firstLine="640" w:firstLineChars="200"/>
        <w:rPr>
          <w:rFonts w:eastAsia="仿宋_GB2312"/>
          <w:sz w:val="32"/>
          <w:szCs w:val="32"/>
        </w:rPr>
      </w:pPr>
      <w:r>
        <w:rPr>
          <w:rFonts w:hint="eastAsia" w:eastAsia="仿宋_GB2312"/>
          <w:sz w:val="32"/>
          <w:szCs w:val="32"/>
        </w:rPr>
        <w:t>3.协调被审计单位为乙方派出的工作人员提供必要的工作条件和协助。</w:t>
      </w:r>
    </w:p>
    <w:p>
      <w:pPr>
        <w:adjustRightInd w:val="0"/>
        <w:snapToGrid w:val="0"/>
        <w:spacing w:line="590" w:lineRule="exact"/>
        <w:ind w:firstLine="640" w:firstLineChars="200"/>
        <w:rPr>
          <w:rFonts w:eastAsia="仿宋_GB2312"/>
          <w:sz w:val="32"/>
          <w:szCs w:val="32"/>
        </w:rPr>
      </w:pPr>
      <w:r>
        <w:rPr>
          <w:rFonts w:hint="eastAsia" w:eastAsia="仿宋_GB2312"/>
          <w:sz w:val="32"/>
          <w:szCs w:val="32"/>
        </w:rPr>
        <w:t>4.按约定及时足额支付审计费用。</w:t>
      </w:r>
    </w:p>
    <w:p>
      <w:pPr>
        <w:adjustRightInd w:val="0"/>
        <w:snapToGrid w:val="0"/>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（二）乙方的责任和义务：</w:t>
      </w:r>
    </w:p>
    <w:p>
      <w:pPr>
        <w:adjustRightInd w:val="0"/>
        <w:snapToGrid w:val="0"/>
        <w:spacing w:line="590" w:lineRule="exact"/>
        <w:ind w:firstLine="640" w:firstLineChars="200"/>
        <w:rPr>
          <w:rFonts w:eastAsia="仿宋_GB2312"/>
          <w:sz w:val="32"/>
          <w:szCs w:val="32"/>
        </w:rPr>
      </w:pPr>
      <w:r>
        <w:rPr>
          <w:rFonts w:hint="eastAsia" w:eastAsia="仿宋_GB2312"/>
          <w:sz w:val="32"/>
          <w:szCs w:val="32"/>
        </w:rPr>
        <w:t>1.按本约定书要求并根据《党政主要领导干部和国有企事业单位主要领导人员经济责任审计规定》《成都粮食集团有限公司内部审计管理制度》《成都粮食集团有限公司内部审计管理制度》及参照《成都市市属国有企业审计监督实施办法》等相关规章制度进行审计，及时出具离任经济责任审计报告和存续业务专项审计报告，并对存续业务专项审计资料单独整理成档案。</w:t>
      </w:r>
    </w:p>
    <w:p>
      <w:pPr>
        <w:adjustRightInd w:val="0"/>
        <w:snapToGrid w:val="0"/>
        <w:spacing w:line="590" w:lineRule="exact"/>
        <w:ind w:firstLine="640" w:firstLineChars="200"/>
        <w:rPr>
          <w:rFonts w:eastAsia="仿宋_GB2312"/>
          <w:sz w:val="32"/>
          <w:szCs w:val="32"/>
        </w:rPr>
      </w:pPr>
      <w:r>
        <w:rPr>
          <w:rFonts w:hint="eastAsia" w:eastAsia="仿宋_GB2312"/>
          <w:sz w:val="32"/>
          <w:szCs w:val="32"/>
        </w:rPr>
        <w:t>2.对在参加比选和审计项目实施过程中知悉的商业秘密及被审计单位提供的资料严加保密，除国家法律另有规定或经甲方正式授权外，乙方在任何时候都不得将其泄露。</w:t>
      </w:r>
    </w:p>
    <w:p>
      <w:pPr>
        <w:adjustRightInd w:val="0"/>
        <w:snapToGrid w:val="0"/>
        <w:spacing w:line="590" w:lineRule="exact"/>
        <w:ind w:firstLine="640" w:firstLineChars="200"/>
        <w:rPr>
          <w:rFonts w:eastAsia="仿宋_GB2312"/>
          <w:sz w:val="32"/>
          <w:szCs w:val="32"/>
        </w:rPr>
      </w:pPr>
      <w:r>
        <w:rPr>
          <w:rFonts w:hint="eastAsia" w:eastAsia="仿宋_GB2312"/>
          <w:sz w:val="32"/>
          <w:szCs w:val="32"/>
        </w:rPr>
        <w:t>3.乙方及其工作人员不得获取与本次审计无关的信息资料。审计工作结束后应及时完整退还被审计单位提供的资料, 不再继续持有记录有被审计单位商业秘密的任何载体，不得进行备份。</w:t>
      </w:r>
    </w:p>
    <w:p>
      <w:pPr>
        <w:adjustRightInd w:val="0"/>
        <w:snapToGrid w:val="0"/>
        <w:spacing w:line="590" w:lineRule="exact"/>
        <w:ind w:firstLine="640" w:firstLineChars="200"/>
        <w:rPr>
          <w:rFonts w:eastAsia="仿宋_GB2312"/>
          <w:sz w:val="32"/>
          <w:szCs w:val="32"/>
        </w:rPr>
      </w:pPr>
      <w:r>
        <w:rPr>
          <w:rFonts w:hint="eastAsia" w:eastAsia="仿宋_GB2312"/>
          <w:sz w:val="32"/>
          <w:szCs w:val="32"/>
        </w:rPr>
        <w:t>4.乙方实施本项目审计组负责人及主要成员：XXXXXXX。</w:t>
      </w:r>
    </w:p>
    <w:p>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三、审计费用及报告</w:t>
      </w:r>
    </w:p>
    <w:p>
      <w:pPr>
        <w:adjustRightInd w:val="0"/>
        <w:snapToGrid w:val="0"/>
        <w:spacing w:line="590" w:lineRule="exact"/>
        <w:ind w:firstLine="640" w:firstLineChars="200"/>
        <w:rPr>
          <w:rFonts w:eastAsia="仿宋_GB2312"/>
          <w:sz w:val="32"/>
          <w:szCs w:val="32"/>
        </w:rPr>
      </w:pPr>
      <w:r>
        <w:rPr>
          <w:rFonts w:hint="eastAsia" w:eastAsia="仿宋_GB2312"/>
          <w:sz w:val="32"/>
          <w:szCs w:val="32"/>
        </w:rPr>
        <w:t>1.包干总价：XX0000.00元（含税），大写：人民币元整。该服务费用已包含全部审计服务费用，包括但不限于人工费、加班费、咨询费、资料费、打印费、交通费、食宿费以及税费等，除以上费用外，甲方不再向乙方支付其他任务费用。</w:t>
      </w:r>
    </w:p>
    <w:p>
      <w:pPr>
        <w:adjustRightInd w:val="0"/>
        <w:snapToGrid w:val="0"/>
        <w:spacing w:line="590" w:lineRule="exact"/>
        <w:ind w:firstLine="640" w:firstLineChars="200"/>
        <w:rPr>
          <w:rFonts w:eastAsia="仿宋_GB2312"/>
          <w:sz w:val="32"/>
          <w:szCs w:val="32"/>
        </w:rPr>
      </w:pPr>
      <w:r>
        <w:rPr>
          <w:rFonts w:hint="eastAsia" w:eastAsia="仿宋_GB2312"/>
          <w:sz w:val="32"/>
          <w:szCs w:val="32"/>
        </w:rPr>
        <w:t xml:space="preserve">2.支付方式：乙方向甲方出具审计报告初稿并开具合法有效的总金额50%增值税专用发票后，甲方按发票支付款项；乙方向甲方出具正式报告经甲方验收通过并开具合法有效总金额剩余50%增值税专用发票后，甲方支付剩余款项。如乙方未及时提供合格有效的发票，甲方有权拒绝付款，且不承担任何违约责任。 </w:t>
      </w:r>
    </w:p>
    <w:p>
      <w:pPr>
        <w:adjustRightInd w:val="0"/>
        <w:snapToGrid w:val="0"/>
        <w:spacing w:line="590" w:lineRule="exact"/>
        <w:ind w:firstLine="640" w:firstLineChars="200"/>
        <w:rPr>
          <w:rFonts w:eastAsia="仿宋_GB2312"/>
          <w:sz w:val="32"/>
          <w:szCs w:val="32"/>
        </w:rPr>
      </w:pPr>
      <w:r>
        <w:rPr>
          <w:rFonts w:hint="eastAsia" w:eastAsia="仿宋_GB2312"/>
          <w:sz w:val="32"/>
          <w:szCs w:val="32"/>
        </w:rPr>
        <w:t>3.乙方应向甲方交付：纸制版审计报告各六份，PDF电子版一份，word版本一份。</w:t>
      </w:r>
    </w:p>
    <w:p>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四、审计报告</w:t>
      </w:r>
    </w:p>
    <w:p>
      <w:pPr>
        <w:adjustRightInd w:val="0"/>
        <w:snapToGrid w:val="0"/>
        <w:spacing w:line="590" w:lineRule="exact"/>
        <w:ind w:firstLine="640" w:firstLineChars="200"/>
        <w:rPr>
          <w:rFonts w:eastAsia="仿宋_GB2312"/>
          <w:sz w:val="32"/>
          <w:szCs w:val="32"/>
        </w:rPr>
      </w:pPr>
      <w:r>
        <w:rPr>
          <w:rFonts w:hint="eastAsia" w:eastAsia="仿宋_GB2312"/>
          <w:sz w:val="32"/>
          <w:szCs w:val="32"/>
        </w:rPr>
        <w:t>1.乙方按照甲方确定的时间进场，经责审计和存续业务审计工作于实施现场审计日起50个工作日内完成现场审计工作（若因甲方或被审计单位的原因造成不能按时完成现场工作时，经双方协商后审计时间可顺延），现场审计工作完成后15日内向甲方提交审计报告初稿，在甲方和被审计单位对审计报告初稿确认后5日内提交正式审计报告。</w:t>
      </w:r>
    </w:p>
    <w:p>
      <w:pPr>
        <w:adjustRightInd w:val="0"/>
        <w:snapToGrid w:val="0"/>
        <w:spacing w:line="590" w:lineRule="exact"/>
        <w:ind w:firstLine="640" w:firstLineChars="200"/>
      </w:pPr>
      <w:r>
        <w:rPr>
          <w:rFonts w:hint="eastAsia" w:eastAsia="仿宋_GB2312"/>
          <w:sz w:val="32"/>
          <w:szCs w:val="32"/>
        </w:rPr>
        <w:t>2.甲方在提交或对外公布乙方出具的审计报告时，不得对其进行修改。当甲方或被审计单位认为有必要修改会计数据、报表附注和所作的说明时，应当事先通知乙方，乙方将考虑有</w:t>
      </w:r>
      <w:r>
        <w:rPr>
          <w:rFonts w:eastAsia="仿宋_GB2312"/>
          <w:sz w:val="32"/>
          <w:szCs w:val="32"/>
        </w:rPr>
        <w:t>关的修改对审计报告的影响，必要时，将重新出具审计报告。乙方不就修改和重新出具审计报告加收任何费用。</w:t>
      </w:r>
    </w:p>
    <w:p>
      <w:pPr>
        <w:adjustRightInd w:val="0"/>
        <w:snapToGrid w:val="0"/>
        <w:spacing w:line="590" w:lineRule="exact"/>
        <w:ind w:firstLine="640"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、违约责任</w:t>
      </w:r>
    </w:p>
    <w:p>
      <w:pPr>
        <w:pStyle w:val="2"/>
        <w:ind w:firstLine="640"/>
        <w:jc w:val="both"/>
        <w:rPr>
          <w:rFonts w:ascii="Times New Roman" w:hAnsi="Times New Roman" w:eastAsia="仿宋_GB2312"/>
          <w:b w:val="0"/>
          <w:szCs w:val="32"/>
        </w:rPr>
      </w:pPr>
      <w:r>
        <w:rPr>
          <w:rFonts w:ascii="Times New Roman" w:hAnsi="Times New Roman" w:eastAsia="仿宋_GB2312"/>
          <w:b w:val="0"/>
          <w:szCs w:val="32"/>
        </w:rPr>
        <w:t>1</w:t>
      </w:r>
      <w:r>
        <w:rPr>
          <w:rFonts w:hint="eastAsia" w:ascii="Times New Roman" w:hAnsi="Times New Roman" w:eastAsia="仿宋_GB2312"/>
          <w:b w:val="0"/>
          <w:szCs w:val="32"/>
        </w:rPr>
        <w:t>.</w:t>
      </w:r>
      <w:r>
        <w:rPr>
          <w:rFonts w:ascii="Times New Roman" w:hAnsi="Times New Roman" w:eastAsia="仿宋_GB2312"/>
          <w:b w:val="0"/>
          <w:szCs w:val="32"/>
        </w:rPr>
        <w:t>如乙方延迟交付审计报告，每延迟1日，应向甲方支付本合同总金额</w:t>
      </w:r>
      <w:bookmarkStart w:id="1" w:name="_Hlk133505925"/>
      <w:r>
        <w:rPr>
          <w:rFonts w:ascii="Times New Roman" w:hAnsi="Times New Roman" w:eastAsia="仿宋_GB2312"/>
          <w:b w:val="0"/>
          <w:szCs w:val="32"/>
        </w:rPr>
        <w:t>【5】%</w:t>
      </w:r>
      <w:bookmarkEnd w:id="1"/>
      <w:r>
        <w:rPr>
          <w:rFonts w:ascii="Times New Roman" w:hAnsi="Times New Roman" w:eastAsia="仿宋_GB2312"/>
          <w:b w:val="0"/>
          <w:szCs w:val="32"/>
        </w:rPr>
        <w:t>的违约金，延迟超过【6】日的，甲方有权另行委托第三方进行审计报告的编制工作，所产生的全部费用均由乙方承担。同时，甲方还有权解除本约定书，乙方应支付约定总金额</w:t>
      </w:r>
      <w:bookmarkStart w:id="2" w:name="_Hlk133505958"/>
      <w:r>
        <w:rPr>
          <w:rFonts w:ascii="Times New Roman" w:hAnsi="Times New Roman" w:eastAsia="仿宋_GB2312"/>
          <w:b w:val="0"/>
          <w:szCs w:val="32"/>
        </w:rPr>
        <w:t>【20】%</w:t>
      </w:r>
      <w:bookmarkEnd w:id="2"/>
      <w:r>
        <w:rPr>
          <w:rFonts w:ascii="Times New Roman" w:hAnsi="Times New Roman" w:eastAsia="仿宋_GB2312"/>
          <w:b w:val="0"/>
          <w:szCs w:val="32"/>
        </w:rPr>
        <w:t>违约金，违约金不足以弥补甲方损失的，还应赔偿甲方因此遭受的全部损失。</w:t>
      </w:r>
    </w:p>
    <w:p>
      <w:pPr>
        <w:pStyle w:val="2"/>
        <w:ind w:firstLine="640"/>
        <w:jc w:val="both"/>
        <w:rPr>
          <w:rFonts w:ascii="Times New Roman" w:hAnsi="Times New Roman" w:eastAsia="仿宋_GB2312"/>
          <w:b w:val="0"/>
          <w:szCs w:val="32"/>
        </w:rPr>
      </w:pPr>
      <w:r>
        <w:rPr>
          <w:rFonts w:ascii="Times New Roman" w:hAnsi="Times New Roman" w:eastAsia="仿宋_GB2312"/>
          <w:b w:val="0"/>
          <w:szCs w:val="32"/>
        </w:rPr>
        <w:t>2</w:t>
      </w:r>
      <w:r>
        <w:rPr>
          <w:rFonts w:hint="eastAsia" w:ascii="Times New Roman" w:hAnsi="Times New Roman" w:eastAsia="仿宋_GB2312"/>
          <w:b w:val="0"/>
          <w:szCs w:val="32"/>
        </w:rPr>
        <w:t>.</w:t>
      </w:r>
      <w:r>
        <w:rPr>
          <w:rFonts w:ascii="Times New Roman" w:hAnsi="Times New Roman" w:eastAsia="仿宋_GB2312"/>
          <w:b w:val="0"/>
          <w:szCs w:val="32"/>
        </w:rPr>
        <w:t>如乙方交付的审计报告不符合本约定书要求、报告内容失实、错误问题的，甲方有权要求乙方在限期内进行更改、重做，如乙方无法在限期内提供符合本约定书约定的审计报告，甲方有权另行委托第三方进行审计报告的编制工作，所产生的全部费用均由乙方承担。同时，甲方还有权解除本约定书，乙方应支付约定书总金额【20】%违约金，违约金不足以弥补甲方损失的，还应赔偿甲方因此遭受的全部损失。</w:t>
      </w:r>
    </w:p>
    <w:p>
      <w:pPr>
        <w:adjustRightInd w:val="0"/>
        <w:snapToGrid w:val="0"/>
        <w:spacing w:line="590" w:lineRule="exact"/>
        <w:ind w:firstLine="640" w:firstLineChars="200"/>
        <w:rPr>
          <w:rFonts w:eastAsia="仿宋_GB2312"/>
          <w:sz w:val="32"/>
          <w:szCs w:val="32"/>
        </w:rPr>
      </w:pPr>
      <w:r>
        <w:rPr>
          <w:rFonts w:hint="eastAsia" w:eastAsia="仿宋_GB2312"/>
          <w:sz w:val="32"/>
          <w:szCs w:val="32"/>
        </w:rPr>
        <w:t>3.乙方如因工作疏忽造成漏审或定性定量错误以及私自隐瞒严重问题不向甲方报告的，一旦被发现，甲方有权将乙方列入业务禁入名单，永久终止乙方参与甲方及其所属单位的审计项目。同时，甲方有权解除合同，乙方应退还全部已收取费用并向甲方支付合同金额【</w:t>
      </w:r>
      <w:r>
        <w:rPr>
          <w:rFonts w:hint="eastAsia" w:eastAsia="仿宋_GB2312"/>
          <w:sz w:val="32"/>
          <w:szCs w:val="32"/>
          <w:lang w:val="en-US" w:eastAsia="zh-CN"/>
        </w:rPr>
        <w:t>20</w:t>
      </w:r>
      <w:r>
        <w:rPr>
          <w:rFonts w:hint="eastAsia" w:eastAsia="仿宋_GB2312"/>
          <w:sz w:val="32"/>
          <w:szCs w:val="32"/>
        </w:rPr>
        <w:t>】%的违约金。造成甲方损失的，应全额赔偿。</w:t>
      </w:r>
    </w:p>
    <w:p>
      <w:pPr>
        <w:adjustRightInd w:val="0"/>
        <w:snapToGrid w:val="0"/>
        <w:spacing w:line="590" w:lineRule="exact"/>
        <w:ind w:firstLine="640" w:firstLineChars="200"/>
        <w:rPr>
          <w:rFonts w:eastAsia="仿宋_GB2312"/>
          <w:sz w:val="32"/>
          <w:szCs w:val="32"/>
        </w:rPr>
      </w:pPr>
      <w:r>
        <w:rPr>
          <w:rFonts w:hint="eastAsia" w:eastAsia="仿宋_GB2312"/>
          <w:sz w:val="32"/>
          <w:szCs w:val="32"/>
        </w:rPr>
        <w:t>4.本协议项下所称甲方损失包括直接损失、预期可得利益损失、律师费、鉴定费、保全费等全部费用。</w:t>
      </w:r>
    </w:p>
    <w:p>
      <w:pPr>
        <w:adjustRightInd w:val="0"/>
        <w:snapToGrid w:val="0"/>
        <w:spacing w:line="590"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、适用法律和争议解决</w:t>
      </w:r>
    </w:p>
    <w:p>
      <w:pPr>
        <w:adjustRightInd w:val="0"/>
        <w:snapToGrid w:val="0"/>
        <w:spacing w:line="590" w:lineRule="exact"/>
        <w:ind w:firstLine="640" w:firstLineChars="200"/>
        <w:rPr>
          <w:rFonts w:eastAsia="仿宋_GB2312"/>
          <w:sz w:val="32"/>
          <w:szCs w:val="32"/>
        </w:rPr>
      </w:pPr>
      <w:r>
        <w:rPr>
          <w:rFonts w:eastAsia="仿宋_GB2312"/>
          <w:sz w:val="32"/>
          <w:szCs w:val="32"/>
        </w:rPr>
        <w:t>本约定书的所有方面均应适用中华人民共和国法律进行解释并受其约束。因本约定书引起的或与本约定书有关的任何纠纷或争议（包括关于本约定书条款的存在、效力或终上，或无效之后果），双方可向甲方所在地有管辖权的人民法院提起诉讼。</w:t>
      </w:r>
    </w:p>
    <w:p>
      <w:pPr>
        <w:adjustRightInd w:val="0"/>
        <w:snapToGrid w:val="0"/>
        <w:spacing w:line="590" w:lineRule="exact"/>
        <w:ind w:firstLine="640"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、双方对其他有关事项的约定</w:t>
      </w:r>
    </w:p>
    <w:p>
      <w:pPr>
        <w:adjustRightInd w:val="0"/>
        <w:snapToGrid w:val="0"/>
        <w:spacing w:line="590" w:lineRule="exact"/>
        <w:ind w:firstLine="640" w:firstLineChars="200"/>
        <w:rPr>
          <w:rFonts w:eastAsia="仿宋_GB2312"/>
          <w:sz w:val="32"/>
          <w:szCs w:val="32"/>
        </w:rPr>
      </w:pPr>
      <w:r>
        <w:rPr>
          <w:rFonts w:eastAsia="仿宋_GB2312"/>
          <w:sz w:val="32"/>
          <w:szCs w:val="32"/>
        </w:rPr>
        <w:t>本约定书</w:t>
      </w:r>
      <w:r>
        <w:rPr>
          <w:rFonts w:hint="eastAsia" w:eastAsia="仿宋_GB2312"/>
          <w:sz w:val="32"/>
          <w:szCs w:val="32"/>
        </w:rPr>
        <w:t>经双方</w:t>
      </w:r>
      <w:r>
        <w:rPr>
          <w:rFonts w:hint="eastAsia" w:eastAsia="仿宋_GB2312"/>
          <w:sz w:val="32"/>
          <w:szCs w:val="32"/>
          <w:lang w:val="en-US" w:eastAsia="zh-CN"/>
        </w:rPr>
        <w:t>法定代表人</w:t>
      </w:r>
      <w:r>
        <w:rPr>
          <w:rFonts w:hint="eastAsia" w:eastAsia="仿宋_GB2312"/>
          <w:sz w:val="32"/>
          <w:szCs w:val="32"/>
        </w:rPr>
        <w:t>签字</w:t>
      </w:r>
      <w:r>
        <w:rPr>
          <w:rFonts w:hint="eastAsia" w:eastAsia="仿宋_GB2312"/>
          <w:sz w:val="32"/>
          <w:szCs w:val="32"/>
          <w:lang w:val="en-US" w:eastAsia="zh-CN"/>
        </w:rPr>
        <w:t>或签章并加盖公章</w:t>
      </w:r>
      <w:bookmarkStart w:id="3" w:name="_GoBack"/>
      <w:bookmarkEnd w:id="3"/>
      <w:r>
        <w:rPr>
          <w:rFonts w:hint="eastAsia" w:eastAsia="仿宋_GB2312"/>
          <w:sz w:val="32"/>
          <w:szCs w:val="32"/>
        </w:rPr>
        <w:t>后生效，</w:t>
      </w:r>
      <w:r>
        <w:rPr>
          <w:rFonts w:eastAsia="仿宋_GB2312"/>
          <w:sz w:val="32"/>
          <w:szCs w:val="32"/>
        </w:rPr>
        <w:t>一式肆份，甲方执叁份，乙方执壹份，具有同等法律效力。</w:t>
      </w:r>
    </w:p>
    <w:p>
      <w:pPr>
        <w:pStyle w:val="2"/>
        <w:ind w:firstLine="643" w:firstLineChars="200"/>
        <w:jc w:val="both"/>
        <w:rPr>
          <w:rFonts w:eastAsia="仿宋_GB2312"/>
          <w:szCs w:val="32"/>
        </w:rPr>
      </w:pPr>
      <w:r>
        <w:rPr>
          <w:rFonts w:hint="eastAsia" w:eastAsia="仿宋_GB2312"/>
          <w:szCs w:val="32"/>
        </w:rPr>
        <w:t>八、通知与送达</w:t>
      </w:r>
    </w:p>
    <w:p>
      <w:pPr>
        <w:pStyle w:val="2"/>
        <w:ind w:firstLine="640" w:firstLineChars="200"/>
        <w:jc w:val="both"/>
        <w:rPr>
          <w:rFonts w:eastAsia="仿宋_GB2312"/>
          <w:b w:val="0"/>
          <w:bCs/>
          <w:szCs w:val="32"/>
        </w:rPr>
      </w:pPr>
      <w:r>
        <w:rPr>
          <w:rFonts w:eastAsia="仿宋_GB2312"/>
          <w:b w:val="0"/>
          <w:bCs/>
          <w:szCs w:val="32"/>
        </w:rPr>
        <w:t>（一）双方确认以下预留联系地址、联系电话等信息为双方有效送达地址，适用范围包括协议履行过程双方互为发送的各类通知文件，以及因履行本协议发生争议进入诉讼/仲裁阶段，法院/仲裁机构向任何一方送达的诉讼文书/仲裁文书，任何一方变更以下送达地址信息的，应在变更前书面通知其他方。本协议其他条款约定有专门联系人、联系方式的，按照其他条款执行。</w:t>
      </w:r>
    </w:p>
    <w:p>
      <w:pPr>
        <w:pStyle w:val="2"/>
        <w:ind w:firstLine="640" w:firstLineChars="200"/>
        <w:jc w:val="both"/>
        <w:rPr>
          <w:rFonts w:eastAsia="仿宋_GB2312"/>
          <w:b w:val="0"/>
          <w:bCs/>
          <w:szCs w:val="32"/>
        </w:rPr>
      </w:pPr>
      <w:r>
        <w:rPr>
          <w:rFonts w:eastAsia="仿宋_GB2312"/>
          <w:b w:val="0"/>
          <w:bCs/>
          <w:szCs w:val="32"/>
        </w:rPr>
        <w:t>甲方送达地址：</w:t>
      </w:r>
    </w:p>
    <w:p>
      <w:pPr>
        <w:pStyle w:val="2"/>
        <w:ind w:firstLine="640" w:firstLineChars="200"/>
        <w:jc w:val="both"/>
        <w:rPr>
          <w:rFonts w:eastAsia="仿宋_GB2312"/>
          <w:b w:val="0"/>
          <w:bCs/>
          <w:szCs w:val="32"/>
        </w:rPr>
      </w:pPr>
      <w:r>
        <w:rPr>
          <w:rFonts w:eastAsia="仿宋_GB2312"/>
          <w:b w:val="0"/>
          <w:bCs/>
          <w:szCs w:val="32"/>
        </w:rPr>
        <w:t>联系人：</w:t>
      </w:r>
    </w:p>
    <w:p>
      <w:pPr>
        <w:pStyle w:val="2"/>
        <w:ind w:firstLine="640" w:firstLineChars="200"/>
        <w:jc w:val="both"/>
        <w:rPr>
          <w:rFonts w:eastAsia="仿宋_GB2312"/>
          <w:b w:val="0"/>
          <w:bCs/>
          <w:szCs w:val="32"/>
        </w:rPr>
      </w:pPr>
      <w:r>
        <w:rPr>
          <w:rFonts w:eastAsia="仿宋_GB2312"/>
          <w:b w:val="0"/>
          <w:bCs/>
          <w:szCs w:val="32"/>
        </w:rPr>
        <w:t>联系电话：</w:t>
      </w:r>
    </w:p>
    <w:p>
      <w:pPr>
        <w:pStyle w:val="2"/>
        <w:ind w:firstLine="640" w:firstLineChars="200"/>
        <w:jc w:val="both"/>
        <w:rPr>
          <w:rFonts w:eastAsia="仿宋_GB2312"/>
          <w:b w:val="0"/>
          <w:bCs/>
          <w:szCs w:val="32"/>
        </w:rPr>
      </w:pPr>
      <w:r>
        <w:rPr>
          <w:rFonts w:eastAsia="仿宋_GB2312"/>
          <w:b w:val="0"/>
          <w:bCs/>
          <w:szCs w:val="32"/>
        </w:rPr>
        <w:t>电子邮箱：</w:t>
      </w:r>
    </w:p>
    <w:p>
      <w:pPr>
        <w:pStyle w:val="2"/>
        <w:ind w:firstLine="640" w:firstLineChars="200"/>
        <w:jc w:val="both"/>
        <w:rPr>
          <w:rFonts w:eastAsia="仿宋_GB2312"/>
          <w:b w:val="0"/>
          <w:bCs/>
          <w:szCs w:val="32"/>
        </w:rPr>
      </w:pPr>
      <w:r>
        <w:rPr>
          <w:rFonts w:eastAsia="仿宋_GB2312"/>
          <w:b w:val="0"/>
          <w:bCs/>
          <w:szCs w:val="32"/>
        </w:rPr>
        <w:t>乙方送达地址：</w:t>
      </w:r>
    </w:p>
    <w:p>
      <w:pPr>
        <w:pStyle w:val="2"/>
        <w:ind w:firstLine="640" w:firstLineChars="200"/>
        <w:jc w:val="both"/>
        <w:rPr>
          <w:rFonts w:eastAsia="仿宋_GB2312"/>
          <w:b w:val="0"/>
          <w:bCs/>
          <w:szCs w:val="32"/>
        </w:rPr>
      </w:pPr>
      <w:r>
        <w:rPr>
          <w:rFonts w:eastAsia="仿宋_GB2312"/>
          <w:b w:val="0"/>
          <w:bCs/>
          <w:szCs w:val="32"/>
        </w:rPr>
        <w:t>联系人：</w:t>
      </w:r>
    </w:p>
    <w:p>
      <w:pPr>
        <w:pStyle w:val="2"/>
        <w:ind w:firstLine="640" w:firstLineChars="200"/>
        <w:jc w:val="both"/>
        <w:rPr>
          <w:rFonts w:eastAsia="仿宋_GB2312"/>
          <w:b w:val="0"/>
          <w:bCs/>
          <w:szCs w:val="32"/>
        </w:rPr>
      </w:pPr>
      <w:r>
        <w:rPr>
          <w:rFonts w:eastAsia="仿宋_GB2312"/>
          <w:b w:val="0"/>
          <w:bCs/>
          <w:szCs w:val="32"/>
        </w:rPr>
        <w:t>联系电话：</w:t>
      </w:r>
    </w:p>
    <w:p>
      <w:pPr>
        <w:pStyle w:val="2"/>
        <w:ind w:firstLine="640" w:firstLineChars="200"/>
        <w:jc w:val="both"/>
        <w:rPr>
          <w:rFonts w:eastAsia="仿宋_GB2312"/>
          <w:b w:val="0"/>
          <w:bCs/>
          <w:szCs w:val="32"/>
        </w:rPr>
      </w:pPr>
      <w:r>
        <w:rPr>
          <w:rFonts w:eastAsia="仿宋_GB2312"/>
          <w:b w:val="0"/>
          <w:bCs/>
          <w:szCs w:val="32"/>
        </w:rPr>
        <w:t>电子邮箱：</w:t>
      </w:r>
    </w:p>
    <w:p>
      <w:pPr>
        <w:pStyle w:val="2"/>
        <w:ind w:firstLine="640" w:firstLineChars="200"/>
        <w:jc w:val="both"/>
        <w:rPr>
          <w:rFonts w:eastAsia="仿宋_GB2312"/>
          <w:b w:val="0"/>
          <w:bCs/>
          <w:szCs w:val="32"/>
        </w:rPr>
      </w:pPr>
      <w:r>
        <w:rPr>
          <w:rFonts w:eastAsia="仿宋_GB2312"/>
          <w:b w:val="0"/>
          <w:bCs/>
          <w:szCs w:val="32"/>
        </w:rPr>
        <w:t>（二）任何一方因预留信息不准确或未履行变更通知手续，导致另一方或法院/仲裁机构仍然按照上述信息送达文件的，视为有效送达，该方自行承担有关送达的不利后果。邮寄送达的，自邮件寄出之日起第三日视为送达日；专人送达的，送达人在送达回执上记明有关情况之日视为送达日。</w:t>
      </w:r>
    </w:p>
    <w:tbl>
      <w:tblPr>
        <w:tblStyle w:val="8"/>
        <w:tblpPr w:leftFromText="180" w:rightFromText="180" w:vertAnchor="text" w:horzAnchor="page" w:tblpX="1121" w:tblpY="153"/>
        <w:tblOverlap w:val="never"/>
        <w:tblW w:w="9739" w:type="dxa"/>
        <w:tblInd w:w="0" w:type="dxa"/>
        <w:tblLayout w:type="fixed"/>
        <w:tblCellMar>
          <w:top w:w="0" w:type="dxa"/>
          <w:left w:w="108" w:type="dxa"/>
          <w:bottom w:w="0" w:type="dxa"/>
          <w:right w:w="108" w:type="dxa"/>
        </w:tblCellMar>
      </w:tblPr>
      <w:tblGrid>
        <w:gridCol w:w="4415"/>
        <w:gridCol w:w="5324"/>
      </w:tblGrid>
      <w:tr>
        <w:tblPrEx>
          <w:tblCellMar>
            <w:top w:w="0" w:type="dxa"/>
            <w:left w:w="108" w:type="dxa"/>
            <w:bottom w:w="0" w:type="dxa"/>
            <w:right w:w="108" w:type="dxa"/>
          </w:tblCellMar>
        </w:tblPrEx>
        <w:trPr>
          <w:cantSplit/>
          <w:trHeight w:val="1507" w:hRule="exact"/>
        </w:trPr>
        <w:tc>
          <w:tcPr>
            <w:tcW w:w="4415" w:type="dxa"/>
            <w:vAlign w:val="center"/>
          </w:tcPr>
          <w:p>
            <w:pPr>
              <w:adjustRightInd w:val="0"/>
              <w:snapToGrid w:val="0"/>
              <w:spacing w:line="590" w:lineRule="exact"/>
              <w:rPr>
                <w:rFonts w:eastAsia="仿宋_GB2312"/>
                <w:sz w:val="24"/>
              </w:rPr>
            </w:pPr>
            <w:r>
              <w:rPr>
                <w:rFonts w:eastAsia="仿宋_GB2312"/>
                <w:sz w:val="24"/>
              </w:rPr>
              <w:t>甲方（签章）：</w:t>
            </w:r>
            <w:r>
              <w:rPr>
                <w:rFonts w:hint="eastAsia" w:eastAsia="仿宋_GB2312"/>
                <w:sz w:val="24"/>
              </w:rPr>
              <w:t>成都粮食集团有限公司</w:t>
            </w:r>
          </w:p>
        </w:tc>
        <w:tc>
          <w:tcPr>
            <w:tcW w:w="5324" w:type="dxa"/>
            <w:vAlign w:val="center"/>
          </w:tcPr>
          <w:p>
            <w:pPr>
              <w:adjustRightInd w:val="0"/>
              <w:snapToGrid w:val="0"/>
              <w:spacing w:line="590" w:lineRule="exact"/>
              <w:rPr>
                <w:rFonts w:eastAsia="仿宋_GB2312"/>
                <w:sz w:val="24"/>
              </w:rPr>
            </w:pPr>
            <w:r>
              <w:rPr>
                <w:rFonts w:eastAsia="仿宋_GB2312"/>
                <w:sz w:val="24"/>
              </w:rPr>
              <w:t>乙方（签章）：</w:t>
            </w:r>
          </w:p>
        </w:tc>
      </w:tr>
      <w:tr>
        <w:tblPrEx>
          <w:tblCellMar>
            <w:top w:w="0" w:type="dxa"/>
            <w:left w:w="108" w:type="dxa"/>
            <w:bottom w:w="0" w:type="dxa"/>
            <w:right w:w="108" w:type="dxa"/>
          </w:tblCellMar>
        </w:tblPrEx>
        <w:trPr>
          <w:cantSplit/>
          <w:trHeight w:val="926" w:hRule="exact"/>
        </w:trPr>
        <w:tc>
          <w:tcPr>
            <w:tcW w:w="4415" w:type="dxa"/>
            <w:vAlign w:val="center"/>
          </w:tcPr>
          <w:p>
            <w:pPr>
              <w:adjustRightInd w:val="0"/>
              <w:snapToGrid w:val="0"/>
              <w:spacing w:line="590" w:lineRule="exact"/>
              <w:rPr>
                <w:rFonts w:eastAsia="仿宋_GB2312"/>
                <w:sz w:val="24"/>
              </w:rPr>
            </w:pPr>
            <w:r>
              <w:rPr>
                <w:rFonts w:eastAsia="仿宋_GB2312"/>
                <w:sz w:val="24"/>
              </w:rPr>
              <w:t>法定代表人（签章）：</w:t>
            </w:r>
          </w:p>
        </w:tc>
        <w:tc>
          <w:tcPr>
            <w:tcW w:w="5324" w:type="dxa"/>
            <w:vAlign w:val="center"/>
          </w:tcPr>
          <w:p>
            <w:pPr>
              <w:adjustRightInd w:val="0"/>
              <w:snapToGrid w:val="0"/>
              <w:spacing w:line="590" w:lineRule="exact"/>
              <w:rPr>
                <w:rFonts w:eastAsia="仿宋_GB2312"/>
                <w:sz w:val="24"/>
              </w:rPr>
            </w:pPr>
            <w:r>
              <w:rPr>
                <w:rFonts w:eastAsia="仿宋_GB2312"/>
                <w:sz w:val="24"/>
              </w:rPr>
              <w:t>法定代表人（签章）：</w:t>
            </w:r>
          </w:p>
        </w:tc>
      </w:tr>
      <w:tr>
        <w:tblPrEx>
          <w:tblCellMar>
            <w:top w:w="0" w:type="dxa"/>
            <w:left w:w="108" w:type="dxa"/>
            <w:bottom w:w="0" w:type="dxa"/>
            <w:right w:w="108" w:type="dxa"/>
          </w:tblCellMar>
        </w:tblPrEx>
        <w:trPr>
          <w:cantSplit/>
          <w:trHeight w:val="995" w:hRule="exact"/>
        </w:trPr>
        <w:tc>
          <w:tcPr>
            <w:tcW w:w="4415" w:type="dxa"/>
            <w:vAlign w:val="center"/>
          </w:tcPr>
          <w:p>
            <w:pPr>
              <w:adjustRightInd w:val="0"/>
              <w:snapToGrid w:val="0"/>
              <w:spacing w:line="500" w:lineRule="exact"/>
              <w:rPr>
                <w:rFonts w:eastAsia="仿宋_GB2312"/>
                <w:sz w:val="24"/>
              </w:rPr>
            </w:pPr>
            <w:r>
              <w:rPr>
                <w:rFonts w:eastAsia="仿宋_GB2312"/>
                <w:sz w:val="24"/>
              </w:rPr>
              <w:t>地址：</w:t>
            </w:r>
            <w:r>
              <w:rPr>
                <w:rFonts w:hint="eastAsia" w:eastAsia="仿宋_GB2312"/>
                <w:sz w:val="24"/>
              </w:rPr>
              <w:t>成都市武侯区天府大道北段28号茂业中心A座5楼</w:t>
            </w:r>
          </w:p>
        </w:tc>
        <w:tc>
          <w:tcPr>
            <w:tcW w:w="5324" w:type="dxa"/>
            <w:vAlign w:val="center"/>
          </w:tcPr>
          <w:p>
            <w:pPr>
              <w:adjustRightInd w:val="0"/>
              <w:snapToGrid w:val="0"/>
              <w:spacing w:line="590" w:lineRule="exact"/>
              <w:rPr>
                <w:rFonts w:eastAsia="仿宋_GB2312"/>
                <w:sz w:val="24"/>
              </w:rPr>
            </w:pPr>
            <w:r>
              <w:rPr>
                <w:rFonts w:eastAsia="仿宋_GB2312"/>
                <w:sz w:val="24"/>
              </w:rPr>
              <w:t>地址：</w:t>
            </w:r>
            <w:r>
              <w:rPr>
                <w:rFonts w:hint="eastAsia" w:eastAsia="仿宋_GB2312"/>
                <w:sz w:val="24"/>
              </w:rPr>
              <w:t xml:space="preserve"> </w:t>
            </w:r>
          </w:p>
        </w:tc>
      </w:tr>
      <w:tr>
        <w:tblPrEx>
          <w:tblCellMar>
            <w:top w:w="0" w:type="dxa"/>
            <w:left w:w="108" w:type="dxa"/>
            <w:bottom w:w="0" w:type="dxa"/>
            <w:right w:w="108" w:type="dxa"/>
          </w:tblCellMar>
        </w:tblPrEx>
        <w:trPr>
          <w:cantSplit/>
          <w:trHeight w:val="529" w:hRule="exact"/>
        </w:trPr>
        <w:tc>
          <w:tcPr>
            <w:tcW w:w="4415" w:type="dxa"/>
            <w:vAlign w:val="center"/>
          </w:tcPr>
          <w:p>
            <w:pPr>
              <w:adjustRightInd w:val="0"/>
              <w:snapToGrid w:val="0"/>
              <w:spacing w:line="590" w:lineRule="exact"/>
              <w:rPr>
                <w:rFonts w:eastAsia="仿宋_GB2312"/>
                <w:sz w:val="24"/>
              </w:rPr>
            </w:pPr>
            <w:r>
              <w:rPr>
                <w:rFonts w:eastAsia="仿宋_GB2312"/>
                <w:sz w:val="24"/>
              </w:rPr>
              <w:t>电话：</w:t>
            </w:r>
            <w:r>
              <w:rPr>
                <w:rFonts w:hint="eastAsia" w:eastAsia="仿宋_GB2312"/>
                <w:sz w:val="24"/>
              </w:rPr>
              <w:t>0</w:t>
            </w:r>
            <w:r>
              <w:rPr>
                <w:rFonts w:eastAsia="仿宋_GB2312"/>
                <w:sz w:val="24"/>
              </w:rPr>
              <w:t>28</w:t>
            </w:r>
            <w:r>
              <w:rPr>
                <w:rFonts w:hint="eastAsia" w:eastAsia="仿宋_GB2312"/>
                <w:sz w:val="24"/>
              </w:rPr>
              <w:t>-</w:t>
            </w:r>
            <w:r>
              <w:rPr>
                <w:rFonts w:eastAsia="仿宋_GB2312"/>
                <w:sz w:val="24"/>
              </w:rPr>
              <w:t>84466890</w:t>
            </w:r>
          </w:p>
        </w:tc>
        <w:tc>
          <w:tcPr>
            <w:tcW w:w="5324" w:type="dxa"/>
            <w:vAlign w:val="center"/>
          </w:tcPr>
          <w:p>
            <w:pPr>
              <w:adjustRightInd w:val="0"/>
              <w:snapToGrid w:val="0"/>
              <w:spacing w:line="590" w:lineRule="exact"/>
              <w:rPr>
                <w:rFonts w:eastAsia="仿宋_GB2312"/>
                <w:sz w:val="24"/>
              </w:rPr>
            </w:pPr>
            <w:r>
              <w:rPr>
                <w:rFonts w:eastAsia="仿宋_GB2312"/>
                <w:sz w:val="24"/>
              </w:rPr>
              <w:t>电话：</w:t>
            </w:r>
            <w:r>
              <w:rPr>
                <w:rFonts w:hint="eastAsia" w:eastAsia="仿宋_GB2312"/>
                <w:sz w:val="24"/>
              </w:rPr>
              <w:t xml:space="preserve"> </w:t>
            </w:r>
          </w:p>
        </w:tc>
      </w:tr>
      <w:tr>
        <w:tblPrEx>
          <w:tblCellMar>
            <w:top w:w="0" w:type="dxa"/>
            <w:left w:w="108" w:type="dxa"/>
            <w:bottom w:w="0" w:type="dxa"/>
            <w:right w:w="108" w:type="dxa"/>
          </w:tblCellMar>
        </w:tblPrEx>
        <w:trPr>
          <w:cantSplit/>
          <w:trHeight w:val="1090" w:hRule="exact"/>
        </w:trPr>
        <w:tc>
          <w:tcPr>
            <w:tcW w:w="4415" w:type="dxa"/>
            <w:vAlign w:val="bottom"/>
          </w:tcPr>
          <w:p>
            <w:pPr>
              <w:adjustRightInd w:val="0"/>
              <w:snapToGrid w:val="0"/>
              <w:spacing w:line="590" w:lineRule="exact"/>
              <w:ind w:firstLine="480" w:firstLineChars="200"/>
              <w:rPr>
                <w:rFonts w:eastAsia="仿宋_GB2312"/>
                <w:sz w:val="24"/>
              </w:rPr>
            </w:pPr>
            <w:r>
              <w:rPr>
                <w:rFonts w:eastAsia="仿宋_GB2312"/>
                <w:sz w:val="24"/>
              </w:rPr>
              <w:t>年    月    日</w:t>
            </w:r>
          </w:p>
        </w:tc>
        <w:tc>
          <w:tcPr>
            <w:tcW w:w="5324" w:type="dxa"/>
            <w:vAlign w:val="bottom"/>
          </w:tcPr>
          <w:p>
            <w:pPr>
              <w:adjustRightInd w:val="0"/>
              <w:snapToGrid w:val="0"/>
              <w:spacing w:line="590" w:lineRule="exact"/>
              <w:ind w:firstLine="480" w:firstLineChars="200"/>
              <w:rPr>
                <w:rFonts w:eastAsia="仿宋_GB2312"/>
                <w:sz w:val="24"/>
              </w:rPr>
            </w:pPr>
          </w:p>
          <w:p>
            <w:pPr>
              <w:adjustRightInd w:val="0"/>
              <w:snapToGrid w:val="0"/>
              <w:spacing w:line="590" w:lineRule="exact"/>
              <w:ind w:firstLine="480" w:firstLineChars="200"/>
              <w:rPr>
                <w:rFonts w:eastAsia="仿宋_GB2312"/>
                <w:sz w:val="24"/>
              </w:rPr>
            </w:pPr>
            <w:r>
              <w:rPr>
                <w:rFonts w:eastAsia="仿宋_GB2312"/>
                <w:sz w:val="24"/>
              </w:rPr>
              <w:t xml:space="preserve">年    月    日 </w:t>
            </w:r>
          </w:p>
          <w:p>
            <w:pPr>
              <w:adjustRightInd w:val="0"/>
              <w:snapToGrid w:val="0"/>
              <w:spacing w:line="590" w:lineRule="exact"/>
              <w:ind w:firstLine="480" w:firstLineChars="200"/>
              <w:rPr>
                <w:rFonts w:eastAsia="仿宋_GB2312"/>
                <w:sz w:val="24"/>
              </w:rPr>
            </w:pPr>
            <w:r>
              <w:rPr>
                <w:rFonts w:eastAsia="仿宋_GB2312"/>
                <w:sz w:val="24"/>
              </w:rPr>
              <w:t>年    月    日</w:t>
            </w:r>
          </w:p>
          <w:p>
            <w:pPr>
              <w:adjustRightInd w:val="0"/>
              <w:snapToGrid w:val="0"/>
              <w:spacing w:line="590" w:lineRule="exact"/>
              <w:ind w:firstLine="480" w:firstLineChars="200"/>
              <w:rPr>
                <w:rFonts w:eastAsia="仿宋_GB2312"/>
                <w:sz w:val="24"/>
              </w:rPr>
            </w:pPr>
          </w:p>
          <w:p>
            <w:pPr>
              <w:adjustRightInd w:val="0"/>
              <w:snapToGrid w:val="0"/>
              <w:spacing w:line="590" w:lineRule="exact"/>
              <w:ind w:firstLine="480" w:firstLineChars="200"/>
              <w:rPr>
                <w:rFonts w:eastAsia="仿宋_GB2312"/>
                <w:sz w:val="24"/>
              </w:rPr>
            </w:pPr>
          </w:p>
          <w:p>
            <w:pPr>
              <w:adjustRightInd w:val="0"/>
              <w:snapToGrid w:val="0"/>
              <w:spacing w:line="590" w:lineRule="exact"/>
              <w:ind w:firstLine="480" w:firstLineChars="200"/>
              <w:rPr>
                <w:rFonts w:eastAsia="仿宋_GB2312"/>
                <w:sz w:val="24"/>
              </w:rPr>
            </w:pPr>
          </w:p>
          <w:p>
            <w:pPr>
              <w:adjustRightInd w:val="0"/>
              <w:snapToGrid w:val="0"/>
              <w:spacing w:line="590" w:lineRule="exact"/>
              <w:ind w:firstLine="480" w:firstLineChars="200"/>
              <w:rPr>
                <w:rFonts w:eastAsia="仿宋_GB2312"/>
                <w:sz w:val="24"/>
              </w:rPr>
            </w:pPr>
            <w:r>
              <w:rPr>
                <w:rFonts w:eastAsia="仿宋_GB2312"/>
                <w:sz w:val="24"/>
              </w:rPr>
              <w:t>年    月    日</w:t>
            </w:r>
          </w:p>
        </w:tc>
      </w:tr>
    </w:tbl>
    <w:p>
      <w:pPr>
        <w:adjustRightInd w:val="0"/>
        <w:snapToGrid w:val="0"/>
        <w:spacing w:line="590" w:lineRule="exact"/>
        <w:rPr>
          <w:rFonts w:eastAsia="仿宋_GB2312"/>
          <w:sz w:val="24"/>
        </w:rPr>
      </w:pPr>
    </w:p>
    <w:sectPr>
      <w:headerReference r:id="rId3" w:type="default"/>
      <w:footerReference r:id="rId4" w:type="default"/>
      <w:pgSz w:w="11907" w:h="16840"/>
      <w:pgMar w:top="1440" w:right="1080" w:bottom="1440" w:left="1080" w:header="386" w:footer="74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47"/>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kNTAyY2ZhNDViODliYTllOTMzMTVkNzg5MzNhODgifQ=="/>
  </w:docVars>
  <w:rsids>
    <w:rsidRoot w:val="007B11E8"/>
    <w:rsid w:val="00055631"/>
    <w:rsid w:val="00071A3F"/>
    <w:rsid w:val="000B03E5"/>
    <w:rsid w:val="000B3E41"/>
    <w:rsid w:val="000B48A6"/>
    <w:rsid w:val="000D1E6B"/>
    <w:rsid w:val="00104B00"/>
    <w:rsid w:val="00110337"/>
    <w:rsid w:val="001177A1"/>
    <w:rsid w:val="00120F8E"/>
    <w:rsid w:val="00121EAE"/>
    <w:rsid w:val="00133B84"/>
    <w:rsid w:val="001368CD"/>
    <w:rsid w:val="0014467C"/>
    <w:rsid w:val="00151C3E"/>
    <w:rsid w:val="00181B42"/>
    <w:rsid w:val="001A417C"/>
    <w:rsid w:val="001B0F79"/>
    <w:rsid w:val="001D410F"/>
    <w:rsid w:val="001F7A4D"/>
    <w:rsid w:val="0021499C"/>
    <w:rsid w:val="00284EA0"/>
    <w:rsid w:val="002C7813"/>
    <w:rsid w:val="002F0700"/>
    <w:rsid w:val="00303B04"/>
    <w:rsid w:val="003062F1"/>
    <w:rsid w:val="0031291E"/>
    <w:rsid w:val="0031362F"/>
    <w:rsid w:val="003168F7"/>
    <w:rsid w:val="00320193"/>
    <w:rsid w:val="003225C6"/>
    <w:rsid w:val="00322808"/>
    <w:rsid w:val="00323284"/>
    <w:rsid w:val="003347B7"/>
    <w:rsid w:val="003379AE"/>
    <w:rsid w:val="00345115"/>
    <w:rsid w:val="00345EBE"/>
    <w:rsid w:val="00361C6B"/>
    <w:rsid w:val="00390696"/>
    <w:rsid w:val="003B2EAD"/>
    <w:rsid w:val="003D366B"/>
    <w:rsid w:val="004023F4"/>
    <w:rsid w:val="00402AFD"/>
    <w:rsid w:val="00414972"/>
    <w:rsid w:val="004301C5"/>
    <w:rsid w:val="00451750"/>
    <w:rsid w:val="004546AC"/>
    <w:rsid w:val="00454D73"/>
    <w:rsid w:val="004A2F70"/>
    <w:rsid w:val="004C4073"/>
    <w:rsid w:val="004F5D27"/>
    <w:rsid w:val="00532BC9"/>
    <w:rsid w:val="00535D25"/>
    <w:rsid w:val="005553D8"/>
    <w:rsid w:val="005764EE"/>
    <w:rsid w:val="0059022C"/>
    <w:rsid w:val="005C257A"/>
    <w:rsid w:val="005D5E1D"/>
    <w:rsid w:val="005D7B4E"/>
    <w:rsid w:val="00605B5F"/>
    <w:rsid w:val="00681F1D"/>
    <w:rsid w:val="006A7264"/>
    <w:rsid w:val="006D59F0"/>
    <w:rsid w:val="00706E44"/>
    <w:rsid w:val="00713A2E"/>
    <w:rsid w:val="007151D6"/>
    <w:rsid w:val="007156A3"/>
    <w:rsid w:val="00725D38"/>
    <w:rsid w:val="00737D3C"/>
    <w:rsid w:val="00754C06"/>
    <w:rsid w:val="007A4660"/>
    <w:rsid w:val="007B11E8"/>
    <w:rsid w:val="007B23FF"/>
    <w:rsid w:val="007E4F75"/>
    <w:rsid w:val="007E72C9"/>
    <w:rsid w:val="007F6012"/>
    <w:rsid w:val="00802077"/>
    <w:rsid w:val="00813015"/>
    <w:rsid w:val="00816E86"/>
    <w:rsid w:val="0083577B"/>
    <w:rsid w:val="00836C45"/>
    <w:rsid w:val="00844A8E"/>
    <w:rsid w:val="008600C7"/>
    <w:rsid w:val="0086242B"/>
    <w:rsid w:val="00871249"/>
    <w:rsid w:val="00873145"/>
    <w:rsid w:val="008C7E34"/>
    <w:rsid w:val="008E21F2"/>
    <w:rsid w:val="0090236A"/>
    <w:rsid w:val="00932AFC"/>
    <w:rsid w:val="00965ED5"/>
    <w:rsid w:val="00975278"/>
    <w:rsid w:val="009876E7"/>
    <w:rsid w:val="009D35D0"/>
    <w:rsid w:val="009D3EAB"/>
    <w:rsid w:val="009D6B3F"/>
    <w:rsid w:val="009E4428"/>
    <w:rsid w:val="009F0640"/>
    <w:rsid w:val="009F532B"/>
    <w:rsid w:val="00A11BFF"/>
    <w:rsid w:val="00A506A9"/>
    <w:rsid w:val="00A77C4B"/>
    <w:rsid w:val="00A81734"/>
    <w:rsid w:val="00A840F7"/>
    <w:rsid w:val="00A9005D"/>
    <w:rsid w:val="00A936A6"/>
    <w:rsid w:val="00A959D9"/>
    <w:rsid w:val="00AC5967"/>
    <w:rsid w:val="00AD1194"/>
    <w:rsid w:val="00AD11F7"/>
    <w:rsid w:val="00AD79CD"/>
    <w:rsid w:val="00AE38B3"/>
    <w:rsid w:val="00AE5B5C"/>
    <w:rsid w:val="00B058D7"/>
    <w:rsid w:val="00B261BC"/>
    <w:rsid w:val="00B36F3B"/>
    <w:rsid w:val="00B3745F"/>
    <w:rsid w:val="00B37DF4"/>
    <w:rsid w:val="00B820C7"/>
    <w:rsid w:val="00B87255"/>
    <w:rsid w:val="00BB2025"/>
    <w:rsid w:val="00BB2AC9"/>
    <w:rsid w:val="00C10E7D"/>
    <w:rsid w:val="00C274B6"/>
    <w:rsid w:val="00C525C0"/>
    <w:rsid w:val="00C90474"/>
    <w:rsid w:val="00CB506F"/>
    <w:rsid w:val="00CF1356"/>
    <w:rsid w:val="00CF14BC"/>
    <w:rsid w:val="00D3235A"/>
    <w:rsid w:val="00D42BCE"/>
    <w:rsid w:val="00D4614F"/>
    <w:rsid w:val="00D740FD"/>
    <w:rsid w:val="00DD688A"/>
    <w:rsid w:val="00DD7247"/>
    <w:rsid w:val="00DE1820"/>
    <w:rsid w:val="00DF33AC"/>
    <w:rsid w:val="00DF3A79"/>
    <w:rsid w:val="00E014FF"/>
    <w:rsid w:val="00E1430F"/>
    <w:rsid w:val="00E23784"/>
    <w:rsid w:val="00E41609"/>
    <w:rsid w:val="00E42C37"/>
    <w:rsid w:val="00E43713"/>
    <w:rsid w:val="00E46B2D"/>
    <w:rsid w:val="00E5468E"/>
    <w:rsid w:val="00E7738D"/>
    <w:rsid w:val="00EB0228"/>
    <w:rsid w:val="00EB3F57"/>
    <w:rsid w:val="00ED76F5"/>
    <w:rsid w:val="00EF19EC"/>
    <w:rsid w:val="00EF2200"/>
    <w:rsid w:val="00F239D3"/>
    <w:rsid w:val="00F41763"/>
    <w:rsid w:val="00F8686B"/>
    <w:rsid w:val="00F96F66"/>
    <w:rsid w:val="00FC5B9A"/>
    <w:rsid w:val="00FC754B"/>
    <w:rsid w:val="00FD588D"/>
    <w:rsid w:val="00FE58C6"/>
    <w:rsid w:val="03361802"/>
    <w:rsid w:val="05F34957"/>
    <w:rsid w:val="063D4E27"/>
    <w:rsid w:val="0656572F"/>
    <w:rsid w:val="0B7E67D9"/>
    <w:rsid w:val="0DA224EA"/>
    <w:rsid w:val="0E3C103C"/>
    <w:rsid w:val="0ED65AFB"/>
    <w:rsid w:val="102274F8"/>
    <w:rsid w:val="10FF017D"/>
    <w:rsid w:val="115D6745"/>
    <w:rsid w:val="116C6B2F"/>
    <w:rsid w:val="11A008CF"/>
    <w:rsid w:val="13A4798B"/>
    <w:rsid w:val="145D07EA"/>
    <w:rsid w:val="15C7344E"/>
    <w:rsid w:val="161A07DA"/>
    <w:rsid w:val="16DD3639"/>
    <w:rsid w:val="180706A5"/>
    <w:rsid w:val="1AAF7CE3"/>
    <w:rsid w:val="1BA821FC"/>
    <w:rsid w:val="215F2A7B"/>
    <w:rsid w:val="21FB3688"/>
    <w:rsid w:val="22A516DD"/>
    <w:rsid w:val="24723083"/>
    <w:rsid w:val="24ED0B9D"/>
    <w:rsid w:val="26DF357D"/>
    <w:rsid w:val="28382301"/>
    <w:rsid w:val="29654DAF"/>
    <w:rsid w:val="29CE36E4"/>
    <w:rsid w:val="2A6E7149"/>
    <w:rsid w:val="2B7C280B"/>
    <w:rsid w:val="2C662406"/>
    <w:rsid w:val="30FA31AD"/>
    <w:rsid w:val="37EB7E4F"/>
    <w:rsid w:val="3AB72FC7"/>
    <w:rsid w:val="3B9D4F34"/>
    <w:rsid w:val="3CA76E95"/>
    <w:rsid w:val="3DA758C5"/>
    <w:rsid w:val="3F013A99"/>
    <w:rsid w:val="3F2C14D0"/>
    <w:rsid w:val="3F387260"/>
    <w:rsid w:val="3FCB5933"/>
    <w:rsid w:val="45EFF57A"/>
    <w:rsid w:val="467054AE"/>
    <w:rsid w:val="475E31F5"/>
    <w:rsid w:val="47FF79A9"/>
    <w:rsid w:val="4A945D0F"/>
    <w:rsid w:val="4ACC01E9"/>
    <w:rsid w:val="4B8B6007"/>
    <w:rsid w:val="4D8F1AEA"/>
    <w:rsid w:val="502030D4"/>
    <w:rsid w:val="50B31F94"/>
    <w:rsid w:val="53D23438"/>
    <w:rsid w:val="545033D7"/>
    <w:rsid w:val="548712B9"/>
    <w:rsid w:val="553234D3"/>
    <w:rsid w:val="555665FD"/>
    <w:rsid w:val="556E4032"/>
    <w:rsid w:val="55A52046"/>
    <w:rsid w:val="5799512D"/>
    <w:rsid w:val="594A0108"/>
    <w:rsid w:val="5CC232F3"/>
    <w:rsid w:val="5D287A52"/>
    <w:rsid w:val="61EF4B4F"/>
    <w:rsid w:val="61FC1B84"/>
    <w:rsid w:val="630E3845"/>
    <w:rsid w:val="65361D6E"/>
    <w:rsid w:val="66DD0197"/>
    <w:rsid w:val="69425930"/>
    <w:rsid w:val="6A5555BD"/>
    <w:rsid w:val="6AE42C51"/>
    <w:rsid w:val="6B8E4AE7"/>
    <w:rsid w:val="6BED0E71"/>
    <w:rsid w:val="6D1660C1"/>
    <w:rsid w:val="6E165BE4"/>
    <w:rsid w:val="6F326A04"/>
    <w:rsid w:val="72380077"/>
    <w:rsid w:val="739A5E34"/>
    <w:rsid w:val="73DE313B"/>
    <w:rsid w:val="745B0739"/>
    <w:rsid w:val="753B04B8"/>
    <w:rsid w:val="759A405B"/>
    <w:rsid w:val="769A0A14"/>
    <w:rsid w:val="76BE41CC"/>
    <w:rsid w:val="77ABA70C"/>
    <w:rsid w:val="78D13B3A"/>
    <w:rsid w:val="78EC001F"/>
    <w:rsid w:val="79C9376B"/>
    <w:rsid w:val="7D595EE0"/>
    <w:rsid w:val="7D641B42"/>
    <w:rsid w:val="7D9F7568"/>
    <w:rsid w:val="7DBF2A8B"/>
    <w:rsid w:val="7E8F23EF"/>
    <w:rsid w:val="7E927C1E"/>
    <w:rsid w:val="7EDC479F"/>
    <w:rsid w:val="DD7B41EA"/>
    <w:rsid w:val="DFEFB907"/>
    <w:rsid w:val="E1FF1B89"/>
    <w:rsid w:val="EFFF5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jc w:val="center"/>
      <w:outlineLvl w:val="0"/>
    </w:pPr>
    <w:rPr>
      <w:rFonts w:ascii="Arial" w:hAnsi="Arial"/>
      <w:b/>
      <w:sz w:val="32"/>
    </w:rPr>
  </w:style>
  <w:style w:type="paragraph" w:styleId="3">
    <w:name w:val="annotation text"/>
    <w:basedOn w:val="1"/>
    <w:unhideWhenUsed/>
    <w:qFormat/>
    <w:uiPriority w:val="0"/>
    <w:pPr>
      <w:jc w:val="left"/>
    </w:pPr>
    <w:rPr>
      <w:rFonts w:eastAsia="仿宋_GB2312"/>
      <w:sz w:val="30"/>
      <w:szCs w:val="30"/>
    </w:rPr>
  </w:style>
  <w:style w:type="paragraph" w:styleId="4">
    <w:name w:val="Body Text Indent"/>
    <w:basedOn w:val="1"/>
    <w:qFormat/>
    <w:uiPriority w:val="0"/>
    <w:pPr>
      <w:spacing w:line="720" w:lineRule="auto"/>
      <w:ind w:firstLine="680" w:firstLineChars="200"/>
    </w:pPr>
    <w:rPr>
      <w:rFonts w:eastAsia="仿宋_GB2312"/>
      <w:spacing w:val="20"/>
      <w:sz w:val="3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paragraph" w:customStyle="1" w:styleId="1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修订3"/>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401</Words>
  <Characters>2290</Characters>
  <Lines>19</Lines>
  <Paragraphs>5</Paragraphs>
  <TotalTime>9</TotalTime>
  <ScaleCrop>false</ScaleCrop>
  <LinksUpToDate>false</LinksUpToDate>
  <CharactersWithSpaces>2686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2023-12-26T09:44:00Z</dcterms:created>
  <dc:creator>island</dc:creator>
  <cp:lastModifiedBy>龚屏</cp:lastModifiedBy>
  <cp:lastPrinted>2019-07-30T06:59:00Z</cp:lastPrinted>
  <dcterms:modified xsi:type="dcterms:W3CDTF">2023-12-28T09:08:59Z</dcterms:modified>
  <dc:title>审计业务约定书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631F07BB808247779B4B25CF7CFDCB91_13</vt:lpwstr>
  </property>
</Properties>
</file>