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napToGrid w:val="0"/>
        <w:spacing w:line="240" w:lineRule="atLeas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/>
          <w:bCs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  <w:t>年零售市场年度交易电量与电价明细表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widowControl/>
        <w:autoSpaceDE w:val="0"/>
        <w:snapToGrid w:val="0"/>
        <w:spacing w:line="240" w:lineRule="atLeas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napToGrid w:val="0"/>
        <w:spacing w:line="240" w:lineRule="exact"/>
        <w:jc w:val="center"/>
        <w:rPr>
          <w:rFonts w:hint="eastAsia" w:ascii="方正仿宋_GBK" w:hAnsi="方正仿宋_GBK" w:eastAsia="方正仿宋_GBK" w:cs="方正仿宋_GBK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0"/>
          <w:szCs w:val="20"/>
        </w:rPr>
        <w:t>单位：兆瓦时、元/兆瓦时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410"/>
        <w:gridCol w:w="510"/>
        <w:gridCol w:w="960"/>
        <w:gridCol w:w="138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交易品种名称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0"/>
                <w:lang w:eastAsia="zh-CN"/>
              </w:rPr>
              <w:t>常规直购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偏差考核费用分摊系数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  <w:t>k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甲方（电力用户）名称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甲方（电力用户）户号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乙方（售电公司）名称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甲方（电力用户）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交易简称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乙方（售电公司）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交易简称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甲方（电力用户）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交易代码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乙方（售电公司）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交易代码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月份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基础交易电量和电价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浮动交易电价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（仅水电/风光部分）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交易总电量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其中：水电/风光部分</w:t>
            </w:r>
          </w:p>
        </w:tc>
        <w:tc>
          <w:tcPr>
            <w:tcW w:w="20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交易电量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交易电价</w:t>
            </w:r>
          </w:p>
        </w:tc>
        <w:tc>
          <w:tcPr>
            <w:tcW w:w="20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1月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2月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3月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4月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5月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6月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7月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8月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9月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10月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11月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  <w:t>12月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—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</w:rPr>
              <w:t>—</w:t>
            </w:r>
          </w:p>
        </w:tc>
      </w:tr>
    </w:tbl>
    <w:p>
      <w:pPr>
        <w:snapToGrid w:val="0"/>
        <w:ind w:firstLine="180" w:firstLineChars="100"/>
        <w:rPr>
          <w:rFonts w:hint="default" w:ascii="Times New Roman" w:hAnsi="Times New Roman" w:cs="Times New Roman" w:eastAsiaTheme="minorEastAsia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sz w:val="18"/>
          <w:szCs w:val="18"/>
        </w:rPr>
        <w:t>*1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18"/>
          <w:szCs w:val="18"/>
        </w:rPr>
        <w:t>交易电量、交易电价最多保留2位小数。</w:t>
      </w:r>
    </w:p>
    <w:p>
      <w:pPr>
        <w:snapToGrid w:val="0"/>
        <w:ind w:firstLine="180" w:firstLineChars="100"/>
        <w:rPr>
          <w:rFonts w:hint="default" w:ascii="Times New Roman" w:hAnsi="Times New Roman" w:cs="Times New Roman" w:eastAsiaTheme="minorEastAsia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sz w:val="18"/>
          <w:szCs w:val="18"/>
        </w:rPr>
        <w:t>*2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18"/>
          <w:szCs w:val="18"/>
        </w:rPr>
        <w:t>偏差考核费用分摊系数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k</w:t>
      </w:r>
      <w:r>
        <w:rPr>
          <w:rFonts w:hint="default" w:ascii="Times New Roman" w:hAnsi="Times New Roman" w:cs="Times New Roman" w:eastAsiaTheme="minorEastAsia"/>
          <w:sz w:val="18"/>
          <w:szCs w:val="18"/>
        </w:rPr>
        <w:t>值最多保留2位小数，且0≤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k</w:t>
      </w:r>
      <w:r>
        <w:rPr>
          <w:rFonts w:hint="default" w:ascii="Times New Roman" w:hAnsi="Times New Roman" w:cs="Times New Roman" w:eastAsiaTheme="minorEastAsia"/>
          <w:sz w:val="18"/>
          <w:szCs w:val="18"/>
        </w:rPr>
        <w:t>≤100%。</w:t>
      </w:r>
    </w:p>
    <w:p>
      <w:pPr>
        <w:widowControl/>
        <w:autoSpaceDE w:val="0"/>
        <w:snapToGrid w:val="0"/>
        <w:jc w:val="left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 xml:space="preserve">    </w:t>
      </w: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</w:p>
    <w:p>
      <w:pPr>
        <w:widowControl/>
        <w:autoSpaceDE w:val="0"/>
        <w:snapToGrid w:val="0"/>
        <w:ind w:firstLine="880" w:firstLineChars="400"/>
        <w:jc w:val="left"/>
        <w:outlineLvl w:val="0"/>
        <w:rPr>
          <w:rFonts w:hint="default" w:ascii="方正仿宋_GBK" w:hAnsi="方正仿宋_GBK" w:eastAsia="方正仿宋_GBK" w:cs="方正仿宋_GBK"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720" w:footer="720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g2ZTk4MzJjMjJhNTJhN2Y5NzA2YzJjZmJjMzEifQ=="/>
  </w:docVars>
  <w:rsids>
    <w:rsidRoot w:val="0EA911A2"/>
    <w:rsid w:val="0EA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2024-01-09T06:52:00Z</dcterms:created>
  <dc:creator>。</dc:creator>
  <cp:lastModifiedBy>。</cp:lastModifiedBy>
  <dcterms:modified xsi:type="dcterms:W3CDTF">2024-01-09T06:56:07Z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2486FD4FC21A40FDBFBCAAEB1CE3807B_11</vt:lpwstr>
  </property>
</Properties>
</file>